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79005B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79005B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79005B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79005B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79005B" w:rsidRDefault="0039753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INTERNATIONAL RELATIONS, INSTITUTIONS, AND ORGANIZATIONS</w:t>
            </w:r>
          </w:p>
          <w:p w:rsidR="00B0090F" w:rsidRPr="0079005B" w:rsidRDefault="00397539" w:rsidP="00397539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39753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4B0331" w:rsidRPr="0079005B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496952"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="00496952" w:rsidRPr="00496952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79005B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79005B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79005B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79005B" w:rsidRDefault="00C903B4" w:rsidP="00C37F11">
            <w:pPr>
              <w:pStyle w:val="Titlu5"/>
              <w:spacing w:before="0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THE </w:t>
            </w:r>
            <w:r w:rsidR="00496952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TRIPLE ALLIANCE AND ENTENTE (1879-1914). THE ORIGINS OF THE GREAT WAR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6A5FCE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31050010005SM1</w:t>
            </w:r>
            <w:r>
              <w:rPr>
                <w:rFonts w:ascii="Arial Narrow" w:hAnsi="Arial Narrow" w:cs="Arial"/>
                <w:color w:val="FF0000"/>
              </w:rPr>
              <w:t>3</w:t>
            </w:r>
            <w:r>
              <w:rPr>
                <w:rFonts w:ascii="Arial Narrow" w:hAnsi="Arial Narrow" w:cs="Arial"/>
                <w:color w:val="FF0000"/>
              </w:rPr>
              <w:t>11</w:t>
            </w:r>
            <w:r>
              <w:rPr>
                <w:rFonts w:ascii="Arial Narrow" w:hAnsi="Arial Narrow" w:cs="Arial"/>
                <w:color w:val="FF0000"/>
              </w:rPr>
              <w:t>1</w:t>
            </w:r>
            <w:r>
              <w:rPr>
                <w:rFonts w:ascii="Arial Narrow" w:hAnsi="Arial Narrow" w:cs="Arial"/>
                <w:color w:val="FF0000"/>
              </w:rPr>
              <w:t>0</w:t>
            </w:r>
            <w:r>
              <w:rPr>
                <w:rFonts w:ascii="Arial Narrow" w:hAnsi="Arial Narrow" w:cs="Arial"/>
                <w:color w:val="FF0000"/>
              </w:rPr>
              <w:t>5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647103" w:rsidP="00EE70A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full attendance</w:t>
            </w:r>
            <w:r w:rsidR="005C6E93" w:rsidRPr="0079005B">
              <w:rPr>
                <w:rFonts w:ascii="Arial Narrow" w:hAnsi="Arial Narrow" w:cs="Arial"/>
              </w:rPr>
              <w:t xml:space="preserve"> </w:t>
            </w:r>
            <w:r w:rsidRPr="0079005B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E70AA" w:rsidP="00EE70A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2</w:t>
            </w:r>
            <w:r w:rsidRPr="0079005B">
              <w:rPr>
                <w:rFonts w:ascii="Arial Narrow" w:hAnsi="Arial Narrow" w:cs="Arial"/>
                <w:vertAlign w:val="superscript"/>
              </w:rPr>
              <w:t>nd</w:t>
            </w:r>
            <w:r w:rsidRPr="0079005B">
              <w:rPr>
                <w:rFonts w:ascii="Arial Narrow" w:hAnsi="Arial Narrow" w:cs="Arial"/>
              </w:rPr>
              <w:t xml:space="preserve"> cycle</w:t>
            </w:r>
            <w:r w:rsidR="00B0090F" w:rsidRPr="0079005B">
              <w:rPr>
                <w:rFonts w:ascii="Arial Narrow" w:hAnsi="Arial Narrow" w:cs="Arial"/>
              </w:rPr>
              <w:t xml:space="preserve"> (</w:t>
            </w:r>
            <w:r w:rsidRPr="0079005B">
              <w:rPr>
                <w:rFonts w:ascii="Arial Narrow" w:hAnsi="Arial Narrow" w:cs="Arial"/>
              </w:rPr>
              <w:t>master’s</w:t>
            </w:r>
            <w:r w:rsidR="005F24E5" w:rsidRPr="0079005B">
              <w:rPr>
                <w:rFonts w:ascii="Arial Narrow" w:hAnsi="Arial Narrow" w:cs="Arial"/>
              </w:rPr>
              <w:t xml:space="preserve"> </w:t>
            </w:r>
            <w:r w:rsidRPr="0079005B">
              <w:rPr>
                <w:rFonts w:ascii="Arial Narrow" w:hAnsi="Arial Narrow" w:cs="Arial"/>
              </w:rPr>
              <w:t>degree</w:t>
            </w:r>
            <w:r w:rsidR="00B0090F" w:rsidRPr="0079005B">
              <w:rPr>
                <w:rFonts w:ascii="Arial Narrow" w:hAnsi="Arial Narrow" w:cs="Arial"/>
              </w:rPr>
              <w:t>)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3F24D4" w:rsidP="0049695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3F24D4"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 w:rsidR="002B6A6C" w:rsidRPr="0079005B">
              <w:rPr>
                <w:rFonts w:ascii="Arial Narrow" w:hAnsi="Arial Narrow" w:cs="Arial"/>
              </w:rPr>
              <w:t>year of study</w:t>
            </w:r>
            <w:r w:rsidR="00B0090F" w:rsidRPr="0079005B">
              <w:rPr>
                <w:rFonts w:ascii="Arial Narrow" w:hAnsi="Arial Narrow" w:cs="Arial"/>
              </w:rPr>
              <w:t>,</w:t>
            </w:r>
            <w:r w:rsidR="0017001E" w:rsidRPr="0079005B">
              <w:rPr>
                <w:rFonts w:ascii="Arial Narrow" w:hAnsi="Arial Narrow" w:cs="Arial"/>
              </w:rPr>
              <w:t xml:space="preserve"> </w:t>
            </w:r>
            <w:r w:rsidR="00496952">
              <w:rPr>
                <w:rFonts w:ascii="Arial Narrow" w:hAnsi="Arial Narrow" w:cs="Arial"/>
              </w:rPr>
              <w:t>1</w:t>
            </w:r>
            <w:r w:rsidR="00496952" w:rsidRPr="00496952"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 w:rsidR="002B6A6C" w:rsidRPr="0079005B">
              <w:rPr>
                <w:rFonts w:ascii="Arial Narrow" w:hAnsi="Arial Narrow" w:cs="Arial"/>
              </w:rPr>
              <w:t>semester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496952" w:rsidP="00CA0D0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496952" w:rsidP="00EE70A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B0090F" w:rsidRPr="0079005B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1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lecture hour + 1</w:t>
            </w:r>
            <w:r w:rsidR="00B0090F" w:rsidRPr="0079005B">
              <w:rPr>
                <w:rFonts w:ascii="Arial Narrow" w:hAnsi="Arial Narrow" w:cs="Arial"/>
              </w:rPr>
              <w:t xml:space="preserve"> seminar</w:t>
            </w:r>
            <w:r>
              <w:rPr>
                <w:rFonts w:ascii="Arial Narrow" w:hAnsi="Arial Narrow" w:cs="Arial"/>
              </w:rPr>
              <w:t xml:space="preserve"> hour</w:t>
            </w:r>
            <w:r w:rsidR="00B0090F" w:rsidRPr="0079005B">
              <w:rPr>
                <w:rFonts w:ascii="Arial Narrow" w:hAnsi="Arial Narrow" w:cs="Arial"/>
              </w:rPr>
              <w:t>)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C903B4" w:rsidP="00496952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Professor </w:t>
            </w:r>
            <w:r w:rsidR="00F05984" w:rsidRPr="0079005B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r w:rsidR="00496952">
              <w:rPr>
                <w:rFonts w:ascii="Arial Narrow" w:hAnsi="Arial Narrow" w:cs="Arial"/>
                <w:color w:val="000000" w:themeColor="text1"/>
              </w:rPr>
              <w:t xml:space="preserve">Gheorghe </w:t>
            </w:r>
            <w:proofErr w:type="spellStart"/>
            <w:r w:rsidR="00496952">
              <w:rPr>
                <w:rFonts w:ascii="Arial Narrow" w:hAnsi="Arial Narrow" w:cs="Arial"/>
                <w:color w:val="000000" w:themeColor="text1"/>
              </w:rPr>
              <w:t>Cliveti</w:t>
            </w:r>
            <w:proofErr w:type="spellEnd"/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496952" w:rsidP="0049695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Lecturer</w:t>
            </w:r>
            <w:r w:rsidR="00C903B4" w:rsidRPr="0079005B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05984" w:rsidRPr="0079005B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Adrian-Bogdan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ro-RO"/>
              </w:rPr>
              <w:t>Ceobanu</w:t>
            </w:r>
            <w:proofErr w:type="spellEnd"/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E70AA" w:rsidP="00F5383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Advanced level of </w:t>
            </w:r>
            <w:r w:rsidR="00F5383A" w:rsidRPr="00F5383A">
              <w:rPr>
                <w:rFonts w:ascii="Arial Narrow" w:hAnsi="Arial Narrow" w:cs="Arial"/>
                <w:highlight w:val="yellow"/>
              </w:rPr>
              <w:t>French</w:t>
            </w:r>
            <w:r w:rsidR="006A0C9B">
              <w:rPr>
                <w:rFonts w:ascii="Arial Narrow" w:hAnsi="Arial Narrow" w:cs="Arial"/>
              </w:rPr>
              <w:t>/</w:t>
            </w:r>
            <w:r w:rsidR="006A0C9B" w:rsidRPr="006A0C9B">
              <w:rPr>
                <w:rFonts w:ascii="Arial Narrow" w:hAnsi="Arial Narrow" w:cs="Arial"/>
                <w:highlight w:val="yellow"/>
              </w:rPr>
              <w:t>English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79005B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b/>
              </w:rPr>
              <w:t>General competences</w:t>
            </w:r>
            <w:r w:rsidR="00B0090F" w:rsidRPr="0079005B">
              <w:rPr>
                <w:rFonts w:ascii="Arial Narrow" w:hAnsi="Arial Narrow" w:cs="Arial"/>
              </w:rPr>
              <w:t>:</w:t>
            </w:r>
          </w:p>
          <w:p w:rsidR="00163AA8" w:rsidRPr="0079005B" w:rsidRDefault="00EE2FDA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Searching, identification, and use of effective learning methods and techniques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4A448E" w:rsidRPr="0079005B" w:rsidRDefault="00EE2FDA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 of the extrinsic and intrinsic motivations of lifelong learning</w:t>
            </w:r>
            <w:r w:rsidR="00040902">
              <w:rPr>
                <w:rFonts w:ascii="Arial Narrow" w:hAnsi="Arial Narrow" w:cs="Arial"/>
              </w:rPr>
              <w:t>.</w:t>
            </w:r>
          </w:p>
          <w:p w:rsidR="00B0090F" w:rsidRPr="0079005B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b/>
              </w:rPr>
              <w:t>Course-specific competences</w:t>
            </w:r>
            <w:r w:rsidR="00B0090F" w:rsidRPr="0079005B">
              <w:rPr>
                <w:rFonts w:ascii="Arial Narrow" w:hAnsi="Arial Narrow" w:cs="Arial"/>
              </w:rPr>
              <w:t>:</w:t>
            </w:r>
          </w:p>
          <w:p w:rsidR="00163AA8" w:rsidRPr="0079005B" w:rsidRDefault="005C7815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Specific production of new historical knowledge based on a thorough knowledge of an epoch and/or of historical problems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942ED1" w:rsidRPr="0079005B" w:rsidRDefault="005C7815" w:rsidP="002F662E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Use of the core concepts and methods of at least one other social or humanistic science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0B3252" w:rsidRDefault="00AC47F0" w:rsidP="000B3252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lecture deals with one of the major and still controversial issues of international relations: </w:t>
            </w:r>
            <w:r w:rsidR="00312164">
              <w:rPr>
                <w:rFonts w:ascii="Arial Narrow" w:hAnsi="Arial Narrow" w:cs="Arial"/>
              </w:rPr>
              <w:t>the revealing of the character and mechanism of the great alliances, the clarification of the origins of the Great War.</w:t>
            </w:r>
            <w:r>
              <w:rPr>
                <w:rFonts w:ascii="Arial Narrow" w:hAnsi="Arial Narrow" w:cs="Arial"/>
              </w:rPr>
              <w:t xml:space="preserve"> </w:t>
            </w:r>
            <w:r w:rsidR="000B3252">
              <w:rPr>
                <w:rFonts w:ascii="Arial Narrow" w:hAnsi="Arial Narrow" w:cs="Arial"/>
              </w:rPr>
              <w:t xml:space="preserve">Upon the successful completion of the </w:t>
            </w:r>
            <w:r w:rsidR="00312164">
              <w:rPr>
                <w:rFonts w:ascii="Arial Narrow" w:hAnsi="Arial Narrow" w:cs="Arial"/>
              </w:rPr>
              <w:t>lecture</w:t>
            </w:r>
            <w:r w:rsidR="000B3252">
              <w:rPr>
                <w:rFonts w:ascii="Arial Narrow" w:hAnsi="Arial Narrow" w:cs="Arial"/>
              </w:rPr>
              <w:t>, the students will be able to:</w:t>
            </w:r>
          </w:p>
          <w:p w:rsidR="00662234" w:rsidRDefault="002F53FA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explain the origins of the Great War</w:t>
            </w:r>
            <w:r w:rsidR="00662234">
              <w:rPr>
                <w:rFonts w:ascii="Arial Narrow" w:hAnsi="Arial Narrow" w:cs="Arial"/>
              </w:rPr>
              <w:t>.</w:t>
            </w:r>
          </w:p>
          <w:p w:rsidR="0061679B" w:rsidRPr="006F5DC0" w:rsidRDefault="002F53FA" w:rsidP="006F5DC0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describe the two alliances: </w:t>
            </w:r>
            <w:proofErr w:type="gramStart"/>
            <w:r>
              <w:rPr>
                <w:rFonts w:ascii="Arial Narrow" w:hAnsi="Arial Narrow" w:cs="Arial"/>
              </w:rPr>
              <w:t>the</w:t>
            </w:r>
            <w:proofErr w:type="gramEnd"/>
            <w:r>
              <w:rPr>
                <w:rFonts w:ascii="Arial Narrow" w:hAnsi="Arial Narrow" w:cs="Arial"/>
              </w:rPr>
              <w:t xml:space="preserve"> Entente and the Triple Alliance</w:t>
            </w:r>
            <w:r w:rsidR="00BE7386" w:rsidRPr="0079005B">
              <w:rPr>
                <w:rFonts w:ascii="Arial Narrow" w:hAnsi="Arial Narrow" w:cs="Arial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79005B" w:rsidRDefault="002A4DB3" w:rsidP="00C94DCA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81359F">
              <w:rPr>
                <w:rFonts w:ascii="Arial Narrow" w:hAnsi="Arial Narrow" w:cs="Arial"/>
                <w:color w:val="000000" w:themeColor="text1"/>
              </w:rPr>
              <w:t>From the German – Austro-Hungarian alliance to the Triple Alliance (I)</w:t>
            </w:r>
            <w:r w:rsidR="00D407E7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C94DCA" w:rsidRPr="0079005B" w:rsidRDefault="002A4DB3" w:rsidP="001E0A04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2. </w:t>
            </w:r>
            <w:r w:rsidR="0081359F">
              <w:rPr>
                <w:rFonts w:ascii="Arial Narrow" w:hAnsi="Arial Narrow" w:cs="Arial"/>
                <w:color w:val="000000" w:themeColor="text1"/>
              </w:rPr>
              <w:t>From the German – Austro-Hungarian alliance to the Triple Alliance (II)</w:t>
            </w:r>
            <w:r w:rsidR="00D407E7">
              <w:rPr>
                <w:rFonts w:ascii="Arial Narrow" w:hAnsi="Arial Narrow" w:cs="Arial"/>
              </w:rPr>
              <w:t>.</w:t>
            </w:r>
          </w:p>
          <w:p w:rsidR="001E0A04" w:rsidRPr="0079005B" w:rsidRDefault="001E0A04" w:rsidP="006772B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3. </w:t>
            </w:r>
            <w:proofErr w:type="gramStart"/>
            <w:r w:rsidR="00DB5712">
              <w:rPr>
                <w:rFonts w:ascii="Arial Narrow" w:hAnsi="Arial Narrow" w:cs="Arial"/>
                <w:color w:val="000000" w:themeColor="text1"/>
              </w:rPr>
              <w:t>The  defensive</w:t>
            </w:r>
            <w:proofErr w:type="gramEnd"/>
            <w:r w:rsidR="00DB5712">
              <w:rPr>
                <w:rFonts w:ascii="Arial Narrow" w:hAnsi="Arial Narrow" w:cs="Arial"/>
                <w:color w:val="000000" w:themeColor="text1"/>
              </w:rPr>
              <w:t xml:space="preserve"> system of the Triple Alliance (I)</w:t>
            </w:r>
            <w:r w:rsidR="00406A91">
              <w:rPr>
                <w:rFonts w:ascii="Arial Narrow" w:hAnsi="Arial Narrow" w:cs="Arial"/>
              </w:rPr>
              <w:t>.</w:t>
            </w:r>
          </w:p>
          <w:p w:rsidR="006772B8" w:rsidRPr="0079005B" w:rsidRDefault="006772B8" w:rsidP="00E20E84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4. </w:t>
            </w:r>
            <w:proofErr w:type="gramStart"/>
            <w:r w:rsidR="00DB5712">
              <w:rPr>
                <w:rFonts w:ascii="Arial Narrow" w:hAnsi="Arial Narrow" w:cs="Arial"/>
                <w:color w:val="000000" w:themeColor="text1"/>
              </w:rPr>
              <w:t>The  defensive</w:t>
            </w:r>
            <w:proofErr w:type="gramEnd"/>
            <w:r w:rsidR="00DB5712">
              <w:rPr>
                <w:rFonts w:ascii="Arial Narrow" w:hAnsi="Arial Narrow" w:cs="Arial"/>
                <w:color w:val="000000" w:themeColor="text1"/>
              </w:rPr>
              <w:t xml:space="preserve"> system of the Triple Alliance (II)</w:t>
            </w:r>
            <w:r w:rsidR="00406A91">
              <w:rPr>
                <w:rFonts w:ascii="Arial Narrow" w:hAnsi="Arial Narrow" w:cs="Arial"/>
              </w:rPr>
              <w:t>.</w:t>
            </w:r>
          </w:p>
          <w:p w:rsidR="00EF3F7E" w:rsidRPr="0079005B" w:rsidRDefault="00EF3F7E" w:rsidP="006772B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5. </w:t>
            </w:r>
            <w:proofErr w:type="gramStart"/>
            <w:r w:rsidR="00DB5712">
              <w:rPr>
                <w:rFonts w:ascii="Arial Narrow" w:hAnsi="Arial Narrow" w:cs="Arial"/>
                <w:color w:val="000000" w:themeColor="text1"/>
              </w:rPr>
              <w:t>The  defensive</w:t>
            </w:r>
            <w:proofErr w:type="gramEnd"/>
            <w:r w:rsidR="00DB5712">
              <w:rPr>
                <w:rFonts w:ascii="Arial Narrow" w:hAnsi="Arial Narrow" w:cs="Arial"/>
                <w:color w:val="000000" w:themeColor="text1"/>
              </w:rPr>
              <w:t xml:space="preserve"> system of the Triple Alliance (III)</w:t>
            </w:r>
            <w:r w:rsidR="00406A91">
              <w:rPr>
                <w:rFonts w:ascii="Arial Narrow" w:hAnsi="Arial Narrow" w:cs="Arial"/>
              </w:rPr>
              <w:t>.</w:t>
            </w:r>
          </w:p>
          <w:p w:rsidR="00601D77" w:rsidRPr="0079005B" w:rsidRDefault="00601D77" w:rsidP="00601D77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6. </w:t>
            </w:r>
            <w:r w:rsidR="00A22E1A">
              <w:rPr>
                <w:rFonts w:ascii="Arial Narrow" w:hAnsi="Arial Narrow" w:cs="Arial"/>
                <w:color w:val="000000" w:themeColor="text1"/>
              </w:rPr>
              <w:t>The Triple Entente (I)</w:t>
            </w:r>
            <w:r w:rsidR="00406A91">
              <w:rPr>
                <w:rFonts w:ascii="Arial Narrow" w:hAnsi="Arial Narrow" w:cs="Arial"/>
              </w:rPr>
              <w:t>.</w:t>
            </w:r>
          </w:p>
          <w:p w:rsidR="00B44ED2" w:rsidRPr="0079005B" w:rsidRDefault="00B44ED2" w:rsidP="00601D77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7. </w:t>
            </w:r>
            <w:r w:rsidR="00A22E1A">
              <w:rPr>
                <w:rFonts w:ascii="Arial Narrow" w:hAnsi="Arial Narrow" w:cs="Arial"/>
                <w:color w:val="000000" w:themeColor="text1"/>
              </w:rPr>
              <w:t>The Triple Entente (II)</w:t>
            </w:r>
            <w:r w:rsidR="00A34078">
              <w:rPr>
                <w:rFonts w:ascii="Arial Narrow" w:hAnsi="Arial Narrow" w:cs="Arial"/>
              </w:rPr>
              <w:t>.</w:t>
            </w:r>
          </w:p>
          <w:p w:rsidR="00245CC6" w:rsidRDefault="000775F5" w:rsidP="0079005B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8. </w:t>
            </w:r>
            <w:r w:rsidR="00A22E1A">
              <w:rPr>
                <w:rFonts w:ascii="Arial Narrow" w:hAnsi="Arial Narrow" w:cs="Arial"/>
                <w:color w:val="000000" w:themeColor="text1"/>
              </w:rPr>
              <w:t>The Triple Entente (III)</w:t>
            </w:r>
            <w:r w:rsidR="00A34078">
              <w:rPr>
                <w:rFonts w:ascii="Arial Narrow" w:hAnsi="Arial Narrow" w:cs="Arial"/>
              </w:rPr>
              <w:t>.</w:t>
            </w:r>
          </w:p>
          <w:p w:rsidR="00D407E7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9. </w:t>
            </w:r>
            <w:r w:rsidR="00A95AF1">
              <w:rPr>
                <w:rFonts w:ascii="Arial Narrow" w:hAnsi="Arial Narrow" w:cs="Arial"/>
                <w:color w:val="000000" w:themeColor="text1"/>
              </w:rPr>
              <w:t>International crises</w:t>
            </w:r>
            <w:r w:rsidR="00DF0D05">
              <w:rPr>
                <w:rFonts w:ascii="Arial Narrow" w:hAnsi="Arial Narrow" w:cs="Arial"/>
                <w:color w:val="000000" w:themeColor="text1"/>
              </w:rPr>
              <w:t xml:space="preserve"> (I).</w:t>
            </w:r>
          </w:p>
          <w:p w:rsidR="00AA6B2D" w:rsidRPr="00AA6B2D" w:rsidRDefault="00D407E7" w:rsidP="0079005B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</w:rPr>
              <w:t xml:space="preserve">10. </w:t>
            </w:r>
            <w:r w:rsidR="00A95AF1">
              <w:rPr>
                <w:rFonts w:ascii="Arial Narrow" w:hAnsi="Arial Narrow" w:cs="Arial"/>
                <w:color w:val="000000" w:themeColor="text1"/>
              </w:rPr>
              <w:t>International crises (I)</w:t>
            </w:r>
            <w:r w:rsidR="00DF0D05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D407E7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11. </w:t>
            </w:r>
            <w:r w:rsidR="00A95AF1">
              <w:rPr>
                <w:rFonts w:ascii="Arial Narrow" w:hAnsi="Arial Narrow" w:cs="Arial"/>
                <w:color w:val="000000" w:themeColor="text1"/>
              </w:rPr>
              <w:t>The origins of the First World War (I)</w:t>
            </w:r>
            <w:r w:rsidR="00DF0D05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D407E7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12. </w:t>
            </w:r>
            <w:r w:rsidR="00A95AF1">
              <w:rPr>
                <w:rFonts w:ascii="Arial Narrow" w:hAnsi="Arial Narrow" w:cs="Arial"/>
                <w:color w:val="000000" w:themeColor="text1"/>
              </w:rPr>
              <w:t>The origins of the First World War</w:t>
            </w:r>
            <w:r w:rsidR="00DF0D05">
              <w:rPr>
                <w:rFonts w:ascii="Arial Narrow" w:hAnsi="Arial Narrow" w:cs="Arial"/>
              </w:rPr>
              <w:t xml:space="preserve"> (I</w:t>
            </w:r>
            <w:r w:rsidR="00A95AF1">
              <w:rPr>
                <w:rFonts w:ascii="Arial Narrow" w:hAnsi="Arial Narrow" w:cs="Arial"/>
              </w:rPr>
              <w:t>I</w:t>
            </w:r>
            <w:r w:rsidR="00DF0D05">
              <w:rPr>
                <w:rFonts w:ascii="Arial Narrow" w:hAnsi="Arial Narrow" w:cs="Arial"/>
              </w:rPr>
              <w:t>).</w:t>
            </w:r>
          </w:p>
          <w:p w:rsidR="00D407E7" w:rsidRDefault="00D407E7" w:rsidP="0079005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13. </w:t>
            </w:r>
            <w:r w:rsidR="00A95AF1">
              <w:rPr>
                <w:rFonts w:ascii="Arial Narrow" w:hAnsi="Arial Narrow" w:cs="Arial"/>
                <w:color w:val="000000" w:themeColor="text1"/>
              </w:rPr>
              <w:t>The origins of the First World War</w:t>
            </w:r>
            <w:r w:rsidR="00DF0D05">
              <w:rPr>
                <w:rFonts w:ascii="Arial Narrow" w:hAnsi="Arial Narrow" w:cs="Arial"/>
              </w:rPr>
              <w:t xml:space="preserve"> (I</w:t>
            </w:r>
            <w:r w:rsidR="00A95AF1">
              <w:rPr>
                <w:rFonts w:ascii="Arial Narrow" w:hAnsi="Arial Narrow" w:cs="Arial"/>
              </w:rPr>
              <w:t>I</w:t>
            </w:r>
            <w:r w:rsidR="00DF0D05">
              <w:rPr>
                <w:rFonts w:ascii="Arial Narrow" w:hAnsi="Arial Narrow" w:cs="Arial"/>
              </w:rPr>
              <w:t>I).</w:t>
            </w:r>
          </w:p>
          <w:p w:rsidR="00D407E7" w:rsidRPr="0079005B" w:rsidRDefault="00D407E7" w:rsidP="00A95AF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14. </w:t>
            </w:r>
            <w:r w:rsidR="00A95AF1">
              <w:rPr>
                <w:rFonts w:ascii="Arial Narrow" w:hAnsi="Arial Narrow" w:cs="Arial"/>
                <w:color w:val="000000" w:themeColor="text1"/>
              </w:rPr>
              <w:t>The origins of the First World War</w:t>
            </w:r>
            <w:r w:rsidR="00A95AF1">
              <w:rPr>
                <w:rFonts w:ascii="Arial Narrow" w:hAnsi="Arial Narrow" w:cs="Arial"/>
              </w:rPr>
              <w:t xml:space="preserve"> (IV</w:t>
            </w:r>
            <w:r w:rsidR="00DF0D05">
              <w:rPr>
                <w:rFonts w:ascii="Arial Narrow" w:hAnsi="Arial Narrow" w:cs="Arial"/>
              </w:rPr>
              <w:t>).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91C7A" w:rsidRPr="00891C7A" w:rsidRDefault="00891C7A" w:rsidP="00891C7A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Histoire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des relations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internationales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(dir. P.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Renouvin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), Paris, 1955, 1957;</w:t>
            </w:r>
          </w:p>
          <w:p w:rsidR="00891C7A" w:rsidRPr="00891C7A" w:rsidRDefault="00891C7A" w:rsidP="00891C7A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S.</w:t>
            </w: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Rădulescu-Zoner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Tripla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Alianţă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, 1977</w:t>
            </w: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;</w:t>
            </w:r>
          </w:p>
          <w:p w:rsidR="00891C7A" w:rsidRPr="00891C7A" w:rsidRDefault="00891C7A" w:rsidP="00891C7A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S.</w:t>
            </w: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Rădulescu-Zoner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Gh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Cazan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Tripla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Alianţă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1979;</w:t>
            </w:r>
          </w:p>
          <w:p w:rsidR="00891C7A" w:rsidRPr="00891C7A" w:rsidRDefault="00891C7A" w:rsidP="00891C7A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Mircea N. Popa,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Primul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război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mondial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1979;</w:t>
            </w:r>
          </w:p>
          <w:p w:rsidR="00891C7A" w:rsidRPr="00891C7A" w:rsidRDefault="00891C7A" w:rsidP="00891C7A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Gh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Cliveti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crizele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, 1853-1913</w:t>
            </w: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1997;</w:t>
            </w:r>
          </w:p>
          <w:p w:rsidR="00891C7A" w:rsidRPr="00891C7A" w:rsidRDefault="00891C7A" w:rsidP="00891C7A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Idem,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alianţele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germane” 1879-1914</w:t>
            </w: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2015;</w:t>
            </w:r>
          </w:p>
          <w:p w:rsidR="00891C7A" w:rsidRPr="00891C7A" w:rsidRDefault="00891C7A" w:rsidP="00891C7A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Rudolf Dinu,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Diplomaţia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Vechiului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Regat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Studii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2014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;</w:t>
            </w:r>
          </w:p>
          <w:p w:rsidR="00ED2F77" w:rsidRPr="0079005B" w:rsidRDefault="00891C7A" w:rsidP="00891C7A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Preda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C7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Antanta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891C7A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1998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30F0A">
              <w:rPr>
                <w:rFonts w:ascii="Arial Narrow" w:hAnsi="Arial Narrow" w:cs="Arial"/>
              </w:rPr>
              <w:t>.</w:t>
            </w:r>
            <w:r w:rsidR="00365BDF">
              <w:rPr>
                <w:rFonts w:ascii="Arial Narrow" w:hAnsi="Arial Narrow" w:cs="Arial"/>
              </w:rPr>
              <w:t xml:space="preserve"> </w:t>
            </w:r>
            <w:r w:rsidR="00B403DD">
              <w:rPr>
                <w:rFonts w:ascii="Arial Narrow" w:hAnsi="Arial Narrow" w:cs="Arial"/>
                <w:color w:val="000000" w:themeColor="text1"/>
              </w:rPr>
              <w:t>Introductory seminar. Presentation of the topic and bibliography</w:t>
            </w:r>
            <w:r w:rsidR="00365BDF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430F0A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</w:t>
            </w:r>
            <w:r w:rsidR="0087381F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CD56B1">
              <w:rPr>
                <w:rFonts w:ascii="Arial Narrow" w:hAnsi="Arial Narrow" w:cs="Arial"/>
                <w:color w:val="000000" w:themeColor="text1"/>
              </w:rPr>
              <w:t>The Congress of Berlin (1878). Political-territorial changes</w:t>
            </w:r>
            <w:r w:rsidR="00365BDF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</w:t>
            </w:r>
            <w:r w:rsidR="00C133B2">
              <w:rPr>
                <w:rFonts w:ascii="Arial Narrow" w:hAnsi="Arial Narrow" w:cs="Arial"/>
                <w:color w:val="000000" w:themeColor="text1"/>
              </w:rPr>
              <w:t>From the German – Austro-Hungarian alliance to the Triple Alliance</w:t>
            </w:r>
            <w:r w:rsidR="00365BDF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 w:rsidR="00C133B2">
              <w:rPr>
                <w:rFonts w:ascii="Arial Narrow" w:hAnsi="Arial Narrow" w:cs="Arial"/>
                <w:color w:val="000000" w:themeColor="text1"/>
              </w:rPr>
              <w:t>Romania’s foreign policy in 1883</w:t>
            </w:r>
            <w:r w:rsidR="00365BDF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5. </w:t>
            </w:r>
            <w:r w:rsidR="00C133B2">
              <w:rPr>
                <w:rFonts w:ascii="Arial Narrow" w:hAnsi="Arial Narrow" w:cs="Arial"/>
                <w:color w:val="000000" w:themeColor="text1"/>
              </w:rPr>
              <w:t xml:space="preserve">The Bulgarian crisis (1885-1887): causes and </w:t>
            </w:r>
            <w:proofErr w:type="spellStart"/>
            <w:r w:rsidR="00C133B2">
              <w:rPr>
                <w:rFonts w:ascii="Arial Narrow" w:hAnsi="Arial Narrow" w:cs="Arial"/>
                <w:color w:val="000000" w:themeColor="text1"/>
              </w:rPr>
              <w:t>repercusions</w:t>
            </w:r>
            <w:proofErr w:type="spellEnd"/>
            <w:r w:rsidR="00365BDF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6. </w:t>
            </w:r>
            <w:r w:rsidR="00424B8A">
              <w:rPr>
                <w:rFonts w:ascii="Arial Narrow" w:hAnsi="Arial Narrow" w:cs="Arial"/>
                <w:color w:val="000000" w:themeColor="text1"/>
              </w:rPr>
              <w:t>Bismarck’s withdrawal. Implications on the evolution of the Triple Alliance</w:t>
            </w:r>
            <w:r w:rsidR="00295F20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A01A44" w:rsidRDefault="00A01A44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7. </w:t>
            </w:r>
            <w:r w:rsidR="00F70BEE">
              <w:rPr>
                <w:rFonts w:ascii="Arial Narrow" w:hAnsi="Arial Narrow" w:cs="Arial"/>
                <w:color w:val="000000" w:themeColor="text1"/>
              </w:rPr>
              <w:t>The French-Russian alliance (1891-1893)</w:t>
            </w:r>
            <w:r w:rsidR="00295F20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8. </w:t>
            </w:r>
            <w:r w:rsidR="00EE5917">
              <w:rPr>
                <w:rFonts w:ascii="Arial Narrow" w:hAnsi="Arial Narrow" w:cs="Arial"/>
                <w:color w:val="000000" w:themeColor="text1"/>
              </w:rPr>
              <w:t>International relations in 1900</w:t>
            </w:r>
            <w:r w:rsidR="00295F20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9. </w:t>
            </w:r>
            <w:r w:rsidR="00EE5917">
              <w:rPr>
                <w:rFonts w:ascii="Arial Narrow" w:hAnsi="Arial Narrow" w:cs="Arial"/>
                <w:color w:val="000000" w:themeColor="text1"/>
              </w:rPr>
              <w:t>From the French-Russian alliance to the Russian-British entente</w:t>
            </w:r>
            <w:r w:rsidR="00295F20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10. </w:t>
            </w:r>
            <w:r w:rsidR="00E364ED">
              <w:rPr>
                <w:rFonts w:ascii="Arial Narrow" w:hAnsi="Arial Narrow" w:cs="Arial"/>
                <w:color w:val="000000" w:themeColor="text1"/>
              </w:rPr>
              <w:t>The Bosnian crisis. The independence of Bulgaria</w:t>
            </w:r>
            <w:r w:rsidR="00295F20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11. </w:t>
            </w:r>
            <w:r w:rsidR="00DA5609">
              <w:rPr>
                <w:rFonts w:ascii="Arial Narrow" w:hAnsi="Arial Narrow" w:cs="Arial"/>
              </w:rPr>
              <w:t>The Balkan Wars</w:t>
            </w:r>
            <w:r w:rsidR="00295F20">
              <w:rPr>
                <w:rFonts w:ascii="Arial Narrow" w:hAnsi="Arial Narrow" w:cs="Arial"/>
              </w:rPr>
              <w:t>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12. </w:t>
            </w:r>
            <w:r w:rsidR="00216706">
              <w:rPr>
                <w:rFonts w:ascii="Arial Narrow" w:hAnsi="Arial Narrow" w:cs="Arial"/>
              </w:rPr>
              <w:t>The crisis of July 1914</w:t>
            </w:r>
            <w:r w:rsidR="00295F20">
              <w:rPr>
                <w:rFonts w:ascii="Arial Narrow" w:hAnsi="Arial Narrow" w:cs="Arial"/>
              </w:rPr>
              <w:t>.</w:t>
            </w:r>
          </w:p>
          <w:p w:rsidR="00DF0D05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13. </w:t>
            </w:r>
            <w:r w:rsidR="00684219">
              <w:rPr>
                <w:rFonts w:ascii="Arial Narrow" w:hAnsi="Arial Narrow" w:cs="Arial"/>
              </w:rPr>
              <w:t>Romania facing the outbreak of the First World War</w:t>
            </w:r>
            <w:r w:rsidR="00295F20">
              <w:rPr>
                <w:rFonts w:ascii="Arial Narrow" w:hAnsi="Arial Narrow" w:cs="Arial"/>
              </w:rPr>
              <w:t>.</w:t>
            </w:r>
          </w:p>
          <w:p w:rsidR="00DF0D05" w:rsidRPr="0079005B" w:rsidRDefault="00DF0D05" w:rsidP="00A01A4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14. </w:t>
            </w:r>
            <w:r w:rsidR="00FE73ED">
              <w:rPr>
                <w:rFonts w:ascii="Arial Narrow" w:hAnsi="Arial Narrow" w:cs="Arial"/>
              </w:rPr>
              <w:t>Conclusions. Final discussions</w:t>
            </w:r>
            <w:r w:rsidR="00295F20">
              <w:rPr>
                <w:rFonts w:ascii="Arial Narrow" w:hAnsi="Arial Narrow" w:cs="Arial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Carter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Miranda,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Cei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trei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împăraţi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Trei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veri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trei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imperii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drumul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lor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către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Primul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Război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Mondial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2015.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Cazan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Gh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 Nicolae,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Şerban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Rădulescu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Zon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er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Tripla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Alianţă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1878-1914,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1979.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Cliveti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Gheorghe,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crizele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1853-1913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1997.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Idem,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România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alianţele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germane” 1879-1914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2015.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Dinu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Rudolf,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Diplomaţia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României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perioada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vechiului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Regat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1878-1914,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Dinu C.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Giurescu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Rudolf Dinu,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Laurenţiu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Constantiniu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istorie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ilustrată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diplomaţiei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româneşti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1862-1947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2011, p. 63-188.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Girault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René,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Diplomatie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européenne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. Nations et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impérialisme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1871-1914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Paris, 2004.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Hosking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Geoffrey,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Rusia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popor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imperiu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1552-1917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.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Traducere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de Dana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C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răciun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Hortensia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Pârlog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2001.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Lee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Stephen J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.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Aspects of European History (1789-1980)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 London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New York, 1982. (British Council Library)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Mulligan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William, </w:t>
            </w:r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The Origins of the First World War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Cambridge, 2010.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McLean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Roderick,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Royality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and Diplomacy in Europe 1890-1914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Cambridge, 2001.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MacMillan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Margaret,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Războiul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care a pus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capăt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păcii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.</w:t>
            </w:r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Drumul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spre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1914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2015.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Remond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René, </w:t>
            </w:r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Introduction a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l'histoire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notre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temps, 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II, </w:t>
            </w:r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 XIX-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esiécle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. 1815-1914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Paris, 1974.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Renouvin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Pierre,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Primul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război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mondial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.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Traducere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şi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note de Lucia Popa,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2001.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Steinberg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Jonathan, </w:t>
            </w:r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Bismarck: o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viaţă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ediţie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îngrijită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prefaţă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limba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omână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de George Cristian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Maior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Cluj-Napoca,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2012.</w:t>
            </w:r>
          </w:p>
          <w:p w:rsidR="0099255F" w:rsidRPr="0099255F" w:rsidRDefault="0099255F" w:rsidP="0099255F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Taylor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A.J.P.,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Monarhia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habsburgică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1809-1918. O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istorie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Imperiului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austriac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 Austro-</w:t>
            </w:r>
            <w:proofErr w:type="spellStart"/>
            <w:r w:rsidRPr="0099255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Ungariei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traducere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de Cornelia Bucur,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99255F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2000</w:t>
            </w:r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.</w:t>
            </w:r>
          </w:p>
          <w:p w:rsidR="00EC7908" w:rsidRPr="0079005B" w:rsidRDefault="0099255F" w:rsidP="0099255F">
            <w:pPr>
              <w:autoSpaceDE w:val="0"/>
              <w:autoSpaceDN w:val="0"/>
              <w:adjustRightInd w:val="0"/>
              <w:ind w:left="289" w:hanging="28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255F"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>Weitsman</w:t>
            </w:r>
            <w:proofErr w:type="spellEnd"/>
            <w:r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>,</w:t>
            </w:r>
            <w:r w:rsidRPr="0099255F"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 xml:space="preserve"> Patricia A., </w:t>
            </w:r>
            <w:r w:rsidRPr="0099255F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en-US"/>
              </w:rPr>
              <w:t>Dangerous Alliances: Proponents of Peace, Weapons of War</w:t>
            </w:r>
            <w:r w:rsidRPr="0099255F"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>, Stanford, 2004</w:t>
            </w:r>
            <w:r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9005B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500599"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E73124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500599">
              <w:rPr>
                <w:rFonts w:ascii="Arial Narrow" w:hAnsi="Arial Narrow" w:cs="Arial"/>
                <w:color w:val="000000" w:themeColor="text1"/>
              </w:rPr>
              <w:t>exposition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9005B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874C7">
              <w:rPr>
                <w:rFonts w:ascii="Arial Narrow" w:hAnsi="Arial Narrow" w:cs="Arial"/>
                <w:color w:val="000000" w:themeColor="text1"/>
              </w:rPr>
              <w:t>heuristic conversation</w:t>
            </w:r>
          </w:p>
          <w:p w:rsidR="00014D0E" w:rsidRDefault="00E73124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874C7"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500599" w:rsidRPr="0079005B" w:rsidRDefault="00500599" w:rsidP="00500599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874C7">
              <w:rPr>
                <w:rFonts w:ascii="Arial Narrow" w:hAnsi="Arial Narrow" w:cs="Arial"/>
                <w:color w:val="000000" w:themeColor="text1"/>
              </w:rPr>
              <w:t>debating seminar paper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500599">
              <w:rPr>
                <w:rFonts w:ascii="Arial Narrow" w:hAnsi="Arial Narrow" w:cs="Arial"/>
                <w:color w:val="000000" w:themeColor="text1"/>
              </w:rPr>
              <w:t>Oral</w:t>
            </w:r>
            <w:r w:rsidRPr="0079005B">
              <w:rPr>
                <w:rFonts w:ascii="Arial Narrow" w:hAnsi="Arial Narrow" w:cs="Arial"/>
                <w:color w:val="000000" w:themeColor="text1"/>
              </w:rPr>
              <w:t xml:space="preserve"> examination (</w:t>
            </w:r>
            <w:r w:rsidR="000874C7">
              <w:rPr>
                <w:rFonts w:ascii="Arial Narrow" w:hAnsi="Arial Narrow" w:cs="Arial"/>
                <w:color w:val="000000" w:themeColor="text1"/>
              </w:rPr>
              <w:t>5</w:t>
            </w:r>
            <w:r w:rsidR="00FD580E" w:rsidRPr="0079005B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0874C7" w:rsidRPr="0079005B" w:rsidRDefault="000874C7" w:rsidP="00500599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Seminar activity (50%)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F5383A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F5383A">
              <w:rPr>
                <w:rFonts w:ascii="Arial Narrow" w:hAnsi="Arial Narrow" w:cs="Arial"/>
                <w:color w:val="000000" w:themeColor="text1"/>
                <w:highlight w:val="yellow"/>
              </w:rPr>
              <w:t>French</w:t>
            </w:r>
            <w:r w:rsidR="000874C7">
              <w:rPr>
                <w:rFonts w:ascii="Arial Narrow" w:hAnsi="Arial Narrow" w:cs="Arial"/>
                <w:color w:val="000000" w:themeColor="text1"/>
              </w:rPr>
              <w:t>/</w:t>
            </w:r>
            <w:r w:rsidR="000874C7" w:rsidRPr="000874C7">
              <w:rPr>
                <w:rFonts w:ascii="Arial Narrow" w:hAnsi="Arial Narrow" w:cs="Arial"/>
                <w:color w:val="000000" w:themeColor="text1"/>
                <w:highlight w:val="yellow"/>
              </w:rPr>
              <w:t>English</w:t>
            </w:r>
          </w:p>
        </w:tc>
      </w:tr>
    </w:tbl>
    <w:p w:rsidR="00B0090F" w:rsidRPr="0079005B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79005B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4D0E"/>
    <w:rsid w:val="00026751"/>
    <w:rsid w:val="000268EE"/>
    <w:rsid w:val="000320D4"/>
    <w:rsid w:val="00040902"/>
    <w:rsid w:val="00062D35"/>
    <w:rsid w:val="000708B6"/>
    <w:rsid w:val="00071C0E"/>
    <w:rsid w:val="000775F5"/>
    <w:rsid w:val="000874C7"/>
    <w:rsid w:val="000A5E76"/>
    <w:rsid w:val="000B3252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34E87"/>
    <w:rsid w:val="00135D5E"/>
    <w:rsid w:val="00163AA8"/>
    <w:rsid w:val="0017001E"/>
    <w:rsid w:val="001742C6"/>
    <w:rsid w:val="00185E22"/>
    <w:rsid w:val="001A041C"/>
    <w:rsid w:val="001A2938"/>
    <w:rsid w:val="001B1C24"/>
    <w:rsid w:val="001C6F46"/>
    <w:rsid w:val="001E0A04"/>
    <w:rsid w:val="001E1E4E"/>
    <w:rsid w:val="001E737E"/>
    <w:rsid w:val="00203EA6"/>
    <w:rsid w:val="00216706"/>
    <w:rsid w:val="00221ABD"/>
    <w:rsid w:val="00231705"/>
    <w:rsid w:val="002404BC"/>
    <w:rsid w:val="00245CC6"/>
    <w:rsid w:val="00254D05"/>
    <w:rsid w:val="00260F5F"/>
    <w:rsid w:val="00261342"/>
    <w:rsid w:val="00295F20"/>
    <w:rsid w:val="002A1706"/>
    <w:rsid w:val="002A4DB3"/>
    <w:rsid w:val="002A77FE"/>
    <w:rsid w:val="002B6A6C"/>
    <w:rsid w:val="002C7E9F"/>
    <w:rsid w:val="002E09A3"/>
    <w:rsid w:val="002E374F"/>
    <w:rsid w:val="002F53FA"/>
    <w:rsid w:val="002F5F3A"/>
    <w:rsid w:val="002F662E"/>
    <w:rsid w:val="00301A5F"/>
    <w:rsid w:val="00312164"/>
    <w:rsid w:val="00320751"/>
    <w:rsid w:val="00330485"/>
    <w:rsid w:val="003341C3"/>
    <w:rsid w:val="00336803"/>
    <w:rsid w:val="0034318D"/>
    <w:rsid w:val="00365BDF"/>
    <w:rsid w:val="00397539"/>
    <w:rsid w:val="003D3714"/>
    <w:rsid w:val="003D69F8"/>
    <w:rsid w:val="003E3101"/>
    <w:rsid w:val="003F24D4"/>
    <w:rsid w:val="003F25D9"/>
    <w:rsid w:val="00405589"/>
    <w:rsid w:val="00406A91"/>
    <w:rsid w:val="00424B8A"/>
    <w:rsid w:val="00427C2F"/>
    <w:rsid w:val="00430F0A"/>
    <w:rsid w:val="00496952"/>
    <w:rsid w:val="004A11C8"/>
    <w:rsid w:val="004A448E"/>
    <w:rsid w:val="004B0331"/>
    <w:rsid w:val="004B5092"/>
    <w:rsid w:val="004B72EF"/>
    <w:rsid w:val="004D0D05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11EBE"/>
    <w:rsid w:val="00527D83"/>
    <w:rsid w:val="0055700D"/>
    <w:rsid w:val="005818D4"/>
    <w:rsid w:val="00594FE4"/>
    <w:rsid w:val="005A6FF1"/>
    <w:rsid w:val="005A76C4"/>
    <w:rsid w:val="005B5F33"/>
    <w:rsid w:val="005C6E93"/>
    <w:rsid w:val="005C7815"/>
    <w:rsid w:val="005D081B"/>
    <w:rsid w:val="005F24E5"/>
    <w:rsid w:val="005F5153"/>
    <w:rsid w:val="00601341"/>
    <w:rsid w:val="00601D77"/>
    <w:rsid w:val="00606CE8"/>
    <w:rsid w:val="0061679B"/>
    <w:rsid w:val="00617888"/>
    <w:rsid w:val="00622E31"/>
    <w:rsid w:val="00647103"/>
    <w:rsid w:val="00647D9C"/>
    <w:rsid w:val="00656CC7"/>
    <w:rsid w:val="00662234"/>
    <w:rsid w:val="00662BFA"/>
    <w:rsid w:val="00676CAB"/>
    <w:rsid w:val="006772B8"/>
    <w:rsid w:val="00684219"/>
    <w:rsid w:val="006852DA"/>
    <w:rsid w:val="00686349"/>
    <w:rsid w:val="00696887"/>
    <w:rsid w:val="006A0C9B"/>
    <w:rsid w:val="006A5FCE"/>
    <w:rsid w:val="006B05DA"/>
    <w:rsid w:val="006B0E91"/>
    <w:rsid w:val="006B54E8"/>
    <w:rsid w:val="006D41A0"/>
    <w:rsid w:val="006E2065"/>
    <w:rsid w:val="006E74A8"/>
    <w:rsid w:val="006F5DC0"/>
    <w:rsid w:val="00701948"/>
    <w:rsid w:val="007126B6"/>
    <w:rsid w:val="007367BA"/>
    <w:rsid w:val="00752A75"/>
    <w:rsid w:val="0075756B"/>
    <w:rsid w:val="0079005B"/>
    <w:rsid w:val="007A36C9"/>
    <w:rsid w:val="007A7B76"/>
    <w:rsid w:val="007B122A"/>
    <w:rsid w:val="007B75F6"/>
    <w:rsid w:val="007D09CA"/>
    <w:rsid w:val="007F353B"/>
    <w:rsid w:val="007F368A"/>
    <w:rsid w:val="007F4521"/>
    <w:rsid w:val="007F6E2D"/>
    <w:rsid w:val="0080019A"/>
    <w:rsid w:val="008003E6"/>
    <w:rsid w:val="0081359F"/>
    <w:rsid w:val="00814805"/>
    <w:rsid w:val="00830C13"/>
    <w:rsid w:val="00831B29"/>
    <w:rsid w:val="00831FB4"/>
    <w:rsid w:val="0087381F"/>
    <w:rsid w:val="008871DD"/>
    <w:rsid w:val="00891C7A"/>
    <w:rsid w:val="00893E0B"/>
    <w:rsid w:val="008A63BE"/>
    <w:rsid w:val="008C2D3B"/>
    <w:rsid w:val="008D56B5"/>
    <w:rsid w:val="008F2438"/>
    <w:rsid w:val="0093131C"/>
    <w:rsid w:val="00941FA1"/>
    <w:rsid w:val="00942ED1"/>
    <w:rsid w:val="00943BFD"/>
    <w:rsid w:val="009472FD"/>
    <w:rsid w:val="00951792"/>
    <w:rsid w:val="00967570"/>
    <w:rsid w:val="0096779B"/>
    <w:rsid w:val="009743D1"/>
    <w:rsid w:val="0098628C"/>
    <w:rsid w:val="00990506"/>
    <w:rsid w:val="0099255F"/>
    <w:rsid w:val="009A063F"/>
    <w:rsid w:val="009A2E50"/>
    <w:rsid w:val="009A3249"/>
    <w:rsid w:val="009A61B1"/>
    <w:rsid w:val="009C234E"/>
    <w:rsid w:val="009C308C"/>
    <w:rsid w:val="009D31F4"/>
    <w:rsid w:val="009E186A"/>
    <w:rsid w:val="00A01A44"/>
    <w:rsid w:val="00A22E1A"/>
    <w:rsid w:val="00A34078"/>
    <w:rsid w:val="00A3515E"/>
    <w:rsid w:val="00A728BD"/>
    <w:rsid w:val="00A95AF1"/>
    <w:rsid w:val="00AA2475"/>
    <w:rsid w:val="00AA6B2D"/>
    <w:rsid w:val="00AB5097"/>
    <w:rsid w:val="00AC47F0"/>
    <w:rsid w:val="00AE2BAB"/>
    <w:rsid w:val="00AF2BF6"/>
    <w:rsid w:val="00AF5A5E"/>
    <w:rsid w:val="00B0090F"/>
    <w:rsid w:val="00B0244A"/>
    <w:rsid w:val="00B100CD"/>
    <w:rsid w:val="00B27156"/>
    <w:rsid w:val="00B27564"/>
    <w:rsid w:val="00B326E4"/>
    <w:rsid w:val="00B3763D"/>
    <w:rsid w:val="00B403DD"/>
    <w:rsid w:val="00B44ED2"/>
    <w:rsid w:val="00B77D3A"/>
    <w:rsid w:val="00B77EC1"/>
    <w:rsid w:val="00B83F50"/>
    <w:rsid w:val="00B86965"/>
    <w:rsid w:val="00BA0790"/>
    <w:rsid w:val="00BA4E9E"/>
    <w:rsid w:val="00BB1153"/>
    <w:rsid w:val="00BB1909"/>
    <w:rsid w:val="00BB38EE"/>
    <w:rsid w:val="00BD59EF"/>
    <w:rsid w:val="00BD750F"/>
    <w:rsid w:val="00BE7386"/>
    <w:rsid w:val="00C110E4"/>
    <w:rsid w:val="00C133B2"/>
    <w:rsid w:val="00C22AE3"/>
    <w:rsid w:val="00C37F11"/>
    <w:rsid w:val="00C40D3E"/>
    <w:rsid w:val="00C458CB"/>
    <w:rsid w:val="00C6349D"/>
    <w:rsid w:val="00C756B4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7386"/>
    <w:rsid w:val="00CA0D08"/>
    <w:rsid w:val="00CA2385"/>
    <w:rsid w:val="00CB09A8"/>
    <w:rsid w:val="00CD56B1"/>
    <w:rsid w:val="00CE4C1B"/>
    <w:rsid w:val="00D00DD1"/>
    <w:rsid w:val="00D17E96"/>
    <w:rsid w:val="00D2339A"/>
    <w:rsid w:val="00D26D46"/>
    <w:rsid w:val="00D407E7"/>
    <w:rsid w:val="00D45A70"/>
    <w:rsid w:val="00D4640D"/>
    <w:rsid w:val="00D67ECE"/>
    <w:rsid w:val="00D77EFF"/>
    <w:rsid w:val="00D801A3"/>
    <w:rsid w:val="00DA5609"/>
    <w:rsid w:val="00DB1C6A"/>
    <w:rsid w:val="00DB5712"/>
    <w:rsid w:val="00DC554A"/>
    <w:rsid w:val="00DE6640"/>
    <w:rsid w:val="00DF0D05"/>
    <w:rsid w:val="00DF4A9A"/>
    <w:rsid w:val="00E105BC"/>
    <w:rsid w:val="00E20E84"/>
    <w:rsid w:val="00E364ED"/>
    <w:rsid w:val="00E63D02"/>
    <w:rsid w:val="00E73124"/>
    <w:rsid w:val="00E8155F"/>
    <w:rsid w:val="00E9647B"/>
    <w:rsid w:val="00E978C3"/>
    <w:rsid w:val="00EB6D94"/>
    <w:rsid w:val="00EC100B"/>
    <w:rsid w:val="00EC7908"/>
    <w:rsid w:val="00ED14BC"/>
    <w:rsid w:val="00ED2F77"/>
    <w:rsid w:val="00EE2FDA"/>
    <w:rsid w:val="00EE524C"/>
    <w:rsid w:val="00EE5917"/>
    <w:rsid w:val="00EE70AA"/>
    <w:rsid w:val="00EF3F7E"/>
    <w:rsid w:val="00F04CAB"/>
    <w:rsid w:val="00F05984"/>
    <w:rsid w:val="00F22661"/>
    <w:rsid w:val="00F32F1A"/>
    <w:rsid w:val="00F35BD3"/>
    <w:rsid w:val="00F51467"/>
    <w:rsid w:val="00F5383A"/>
    <w:rsid w:val="00F70BEE"/>
    <w:rsid w:val="00F975EA"/>
    <w:rsid w:val="00FA608E"/>
    <w:rsid w:val="00FC0BA7"/>
    <w:rsid w:val="00FC3669"/>
    <w:rsid w:val="00FD580E"/>
    <w:rsid w:val="00FE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7D45"/>
  <w15:docId w15:val="{AFBEE9C5-9F20-4E4D-A328-F4AF4AB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2020-05-07T07:19:00Z</dcterms:created>
  <dcterms:modified xsi:type="dcterms:W3CDTF">2020-05-07T07:19:00Z</dcterms:modified>
</cp:coreProperties>
</file>