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90F" w:rsidRPr="00486EC1" w:rsidRDefault="006D41A0" w:rsidP="00B0090F">
      <w:pPr>
        <w:spacing w:after="0" w:line="240" w:lineRule="auto"/>
        <w:rPr>
          <w:rStyle w:val="Referiresubtil"/>
          <w:rFonts w:ascii="Arial Narrow" w:hAnsi="Arial Narrow" w:cs="Arial"/>
          <w:sz w:val="24"/>
          <w:szCs w:val="24"/>
        </w:rPr>
      </w:pPr>
      <w:r w:rsidRPr="00486EC1">
        <w:rPr>
          <w:rStyle w:val="Referiresubtil"/>
          <w:rFonts w:ascii="Arial Narrow" w:hAnsi="Arial Narrow" w:cs="Arial"/>
          <w:sz w:val="24"/>
          <w:szCs w:val="24"/>
        </w:rPr>
        <w:t>Academic course description</w:t>
      </w:r>
    </w:p>
    <w:p w:rsidR="00B0090F" w:rsidRPr="00486EC1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486EC1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486EC1" w:rsidRDefault="005951D7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BACHELOR</w:t>
            </w:r>
            <w:r w:rsidR="00CA0D08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 ‘S PROGRAMME</w:t>
            </w:r>
          </w:p>
          <w:p w:rsidR="00B0090F" w:rsidRPr="00486EC1" w:rsidRDefault="00950116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auto"/>
              </w:rPr>
              <w:t>HISTORY</w:t>
            </w:r>
          </w:p>
          <w:p w:rsidR="00B0090F" w:rsidRPr="00486EC1" w:rsidRDefault="00E07849" w:rsidP="007A4228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>
              <w:rPr>
                <w:rStyle w:val="Referiresubtil"/>
                <w:rFonts w:ascii="Arial Narrow" w:hAnsi="Arial Narrow" w:cs="Arial"/>
                <w:color w:val="FFFFFF" w:themeColor="background1"/>
              </w:rPr>
              <w:t>2</w:t>
            </w:r>
            <w:r w:rsidRPr="00E07849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nd</w:t>
            </w:r>
            <w:r w:rsidR="004B0331" w:rsidRPr="00486EC1">
              <w:rPr>
                <w:rStyle w:val="Referiresubtil"/>
                <w:rFonts w:ascii="Arial Narrow" w:hAnsi="Arial Narrow" w:cs="Arial"/>
                <w:color w:val="FF0000"/>
              </w:rPr>
              <w:t xml:space="preserve"> </w:t>
            </w:r>
            <w:r w:rsidR="00CA0D08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YEAR OF STUDY</w:t>
            </w:r>
            <w:r w:rsidR="00B0090F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, </w:t>
            </w:r>
            <w:r w:rsidR="00804A3E">
              <w:rPr>
                <w:rStyle w:val="Referiresubtil"/>
                <w:rFonts w:ascii="Arial Narrow" w:hAnsi="Arial Narrow" w:cs="Arial"/>
                <w:color w:val="FFFFFF" w:themeColor="background1"/>
              </w:rPr>
              <w:t>2</w:t>
            </w:r>
            <w:r w:rsidR="00804A3E" w:rsidRPr="00804A3E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nd</w:t>
            </w:r>
            <w:r w:rsidR="00CA0D08"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486EC1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486EC1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486EC1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486EC1" w:rsidRDefault="009F064E" w:rsidP="009F064E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>
              <w:rPr>
                <w:rStyle w:val="Referiresubtil"/>
                <w:rFonts w:ascii="Arial Narrow" w:hAnsi="Arial Narrow" w:cs="Arial"/>
                <w:b/>
                <w:color w:val="auto"/>
              </w:rPr>
              <w:t>EUROPE</w:t>
            </w:r>
            <w:r w:rsidR="00804A3E">
              <w:rPr>
                <w:rStyle w:val="Referiresubtil"/>
                <w:rFonts w:ascii="Arial Narrow" w:hAnsi="Arial Narrow" w:cs="Arial"/>
                <w:b/>
                <w:color w:val="auto"/>
              </w:rPr>
              <w:t xml:space="preserve"> AND THE WORLD IN THE 20</w:t>
            </w:r>
            <w:r w:rsidR="00804A3E" w:rsidRPr="00804A3E">
              <w:rPr>
                <w:rStyle w:val="Referiresubtil"/>
                <w:rFonts w:ascii="Arial Narrow" w:hAnsi="Arial Narrow" w:cs="Arial"/>
                <w:b/>
                <w:color w:val="auto"/>
                <w:vertAlign w:val="superscript"/>
              </w:rPr>
              <w:t>TH</w:t>
            </w:r>
            <w:r w:rsidR="00804A3E">
              <w:rPr>
                <w:rStyle w:val="Referiresubtil"/>
                <w:rFonts w:ascii="Arial Narrow" w:hAnsi="Arial Narrow" w:cs="Arial"/>
                <w:b/>
                <w:color w:val="auto"/>
              </w:rPr>
              <w:t xml:space="preserve"> CENTURY. DEMOCRACY AND TOTALITARIANISM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6F4B8E" w:rsidP="00CA0D08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31050040010SL</w:t>
            </w:r>
            <w:r w:rsidR="00854202">
              <w:rPr>
                <w:rFonts w:ascii="Arial Narrow" w:hAnsi="Arial Narrow" w:cs="Arial"/>
                <w:color w:val="FF0000"/>
              </w:rPr>
              <w:t>1</w:t>
            </w:r>
            <w:r>
              <w:rPr>
                <w:rFonts w:ascii="Arial Narrow" w:hAnsi="Arial Narrow" w:cs="Arial"/>
                <w:color w:val="FF0000"/>
              </w:rPr>
              <w:t>112402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647103" w:rsidP="00EE70AA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full attendance</w:t>
            </w:r>
            <w:r w:rsidR="005C6E93" w:rsidRPr="00486EC1">
              <w:rPr>
                <w:rFonts w:ascii="Arial Narrow" w:hAnsi="Arial Narrow" w:cs="Arial"/>
              </w:rPr>
              <w:t xml:space="preserve"> </w:t>
            </w:r>
            <w:r w:rsidRPr="00486EC1">
              <w:rPr>
                <w:rFonts w:ascii="Arial Narrow" w:hAnsi="Arial Narrow" w:cs="Arial"/>
              </w:rPr>
              <w:t>/ tutorial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5951D7" w:rsidP="00D075BF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1</w:t>
            </w:r>
            <w:r w:rsidRPr="00486EC1">
              <w:rPr>
                <w:rFonts w:ascii="Arial Narrow" w:hAnsi="Arial Narrow" w:cs="Arial"/>
                <w:vertAlign w:val="superscript"/>
              </w:rPr>
              <w:t>st</w:t>
            </w:r>
            <w:r w:rsidR="00EE70AA" w:rsidRPr="00486EC1">
              <w:rPr>
                <w:rFonts w:ascii="Arial Narrow" w:hAnsi="Arial Narrow" w:cs="Arial"/>
              </w:rPr>
              <w:t xml:space="preserve"> cycle</w:t>
            </w:r>
            <w:r w:rsidR="00B0090F" w:rsidRPr="00486EC1">
              <w:rPr>
                <w:rFonts w:ascii="Arial Narrow" w:hAnsi="Arial Narrow" w:cs="Arial"/>
              </w:rPr>
              <w:t xml:space="preserve"> (</w:t>
            </w:r>
            <w:r w:rsidR="00D075BF">
              <w:rPr>
                <w:rFonts w:ascii="Arial Narrow" w:hAnsi="Arial Narrow" w:cs="Arial"/>
              </w:rPr>
              <w:t>bachelor</w:t>
            </w:r>
            <w:r w:rsidR="00EE70AA" w:rsidRPr="00486EC1">
              <w:rPr>
                <w:rFonts w:ascii="Arial Narrow" w:hAnsi="Arial Narrow" w:cs="Arial"/>
              </w:rPr>
              <w:t>’s</w:t>
            </w:r>
            <w:r w:rsidR="005F24E5" w:rsidRPr="00486EC1">
              <w:rPr>
                <w:rFonts w:ascii="Arial Narrow" w:hAnsi="Arial Narrow" w:cs="Arial"/>
              </w:rPr>
              <w:t xml:space="preserve"> </w:t>
            </w:r>
            <w:r w:rsidR="00EE70AA" w:rsidRPr="00486EC1">
              <w:rPr>
                <w:rFonts w:ascii="Arial Narrow" w:hAnsi="Arial Narrow" w:cs="Arial"/>
              </w:rPr>
              <w:t>degree</w:t>
            </w:r>
            <w:r w:rsidR="00B0090F" w:rsidRPr="00486EC1">
              <w:rPr>
                <w:rFonts w:ascii="Arial Narrow" w:hAnsi="Arial Narrow" w:cs="Arial"/>
              </w:rPr>
              <w:t>)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F90028" w:rsidP="00804A3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Pr="00F90028">
              <w:rPr>
                <w:rFonts w:ascii="Arial Narrow" w:hAnsi="Arial Narrow" w:cs="Arial"/>
                <w:vertAlign w:val="superscript"/>
              </w:rPr>
              <w:t>nd</w:t>
            </w:r>
            <w:r w:rsidR="00700EFF" w:rsidRPr="00486EC1">
              <w:rPr>
                <w:rFonts w:ascii="Arial Narrow" w:hAnsi="Arial Narrow" w:cs="Arial"/>
              </w:rPr>
              <w:t xml:space="preserve"> </w:t>
            </w:r>
            <w:r w:rsidR="002B6A6C" w:rsidRPr="00486EC1">
              <w:rPr>
                <w:rFonts w:ascii="Arial Narrow" w:hAnsi="Arial Narrow" w:cs="Arial"/>
              </w:rPr>
              <w:t>year of study</w:t>
            </w:r>
            <w:r w:rsidR="00B0090F" w:rsidRPr="00486EC1">
              <w:rPr>
                <w:rFonts w:ascii="Arial Narrow" w:hAnsi="Arial Narrow" w:cs="Arial"/>
              </w:rPr>
              <w:t>,</w:t>
            </w:r>
            <w:r w:rsidR="0017001E" w:rsidRPr="00486EC1">
              <w:rPr>
                <w:rFonts w:ascii="Arial Narrow" w:hAnsi="Arial Narrow" w:cs="Arial"/>
              </w:rPr>
              <w:t xml:space="preserve"> </w:t>
            </w:r>
            <w:r w:rsidR="00804A3E">
              <w:rPr>
                <w:rFonts w:ascii="Arial Narrow" w:hAnsi="Arial Narrow" w:cs="Arial"/>
              </w:rPr>
              <w:t>2</w:t>
            </w:r>
            <w:r w:rsidR="00804A3E" w:rsidRPr="00804A3E">
              <w:rPr>
                <w:rFonts w:ascii="Arial Narrow" w:hAnsi="Arial Narrow" w:cs="Arial"/>
                <w:vertAlign w:val="superscript"/>
              </w:rPr>
              <w:t>nd</w:t>
            </w:r>
            <w:r w:rsidR="00134E87" w:rsidRPr="00486EC1">
              <w:rPr>
                <w:rFonts w:ascii="Arial Narrow" w:hAnsi="Arial Narrow" w:cs="Arial"/>
              </w:rPr>
              <w:t xml:space="preserve"> </w:t>
            </w:r>
            <w:r w:rsidR="002B6A6C" w:rsidRPr="00486EC1">
              <w:rPr>
                <w:rFonts w:ascii="Arial Narrow" w:hAnsi="Arial Narrow" w:cs="Arial"/>
              </w:rPr>
              <w:t>semester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ECTS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5951D7" w:rsidP="00CA0D08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>5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585BB9" w:rsidP="0085607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B0090F" w:rsidRPr="00486EC1"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</w:rPr>
              <w:t>3</w:t>
            </w:r>
            <w:r w:rsidR="00134E87" w:rsidRPr="00486EC1">
              <w:rPr>
                <w:rFonts w:ascii="Arial Narrow" w:hAnsi="Arial Narrow" w:cs="Arial"/>
              </w:rPr>
              <w:t xml:space="preserve"> </w:t>
            </w:r>
            <w:r w:rsidR="002A5AB1" w:rsidRPr="00486EC1">
              <w:rPr>
                <w:rFonts w:ascii="Arial Narrow" w:hAnsi="Arial Narrow" w:cs="Arial"/>
              </w:rPr>
              <w:t>lecture hour</w:t>
            </w:r>
            <w:r w:rsidR="005951D7" w:rsidRPr="00486EC1">
              <w:rPr>
                <w:rFonts w:ascii="Arial Narrow" w:hAnsi="Arial Narrow" w:cs="Arial"/>
              </w:rPr>
              <w:t>s</w:t>
            </w:r>
            <w:r w:rsidR="002A5AB1" w:rsidRPr="00486EC1">
              <w:rPr>
                <w:rFonts w:ascii="Arial Narrow" w:hAnsi="Arial Narrow" w:cs="Arial"/>
              </w:rPr>
              <w:t xml:space="preserve"> + </w:t>
            </w:r>
            <w:r>
              <w:rPr>
                <w:rFonts w:ascii="Arial Narrow" w:hAnsi="Arial Narrow" w:cs="Arial"/>
              </w:rPr>
              <w:t>3</w:t>
            </w:r>
            <w:r w:rsidR="00B0090F" w:rsidRPr="00486EC1">
              <w:rPr>
                <w:rFonts w:ascii="Arial Narrow" w:hAnsi="Arial Narrow" w:cs="Arial"/>
              </w:rPr>
              <w:t xml:space="preserve"> seminar</w:t>
            </w:r>
            <w:r w:rsidR="00496952" w:rsidRPr="00486EC1">
              <w:rPr>
                <w:rFonts w:ascii="Arial Narrow" w:hAnsi="Arial Narrow" w:cs="Arial"/>
              </w:rPr>
              <w:t xml:space="preserve"> hour</w:t>
            </w:r>
            <w:r>
              <w:rPr>
                <w:rFonts w:ascii="Arial Narrow" w:hAnsi="Arial Narrow" w:cs="Arial"/>
              </w:rPr>
              <w:t>s</w:t>
            </w:r>
            <w:r w:rsidR="00B0090F" w:rsidRPr="00486EC1">
              <w:rPr>
                <w:rFonts w:ascii="Arial Narrow" w:hAnsi="Arial Narrow" w:cs="Arial"/>
              </w:rPr>
              <w:t>)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69688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lecture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8B62FA" w:rsidP="00804A3E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Professor</w:t>
            </w:r>
            <w:r w:rsidR="003245E3">
              <w:rPr>
                <w:rFonts w:ascii="Arial Narrow" w:hAnsi="Arial Narrow" w:cs="Arial"/>
                <w:bCs/>
                <w:color w:val="000000" w:themeColor="text1"/>
              </w:rPr>
              <w:t xml:space="preserve"> PhD </w:t>
            </w:r>
            <w:r w:rsidR="00804A3E" w:rsidRPr="00804A3E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Lucian </w:t>
            </w:r>
            <w:proofErr w:type="spellStart"/>
            <w:r w:rsidR="00804A3E" w:rsidRPr="00804A3E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Leuştean</w:t>
            </w:r>
            <w:proofErr w:type="spellEnd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; </w:t>
            </w:r>
            <w:proofErr w:type="spellStart"/>
            <w:r w:rsidR="00804A3E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Associate</w:t>
            </w:r>
            <w:proofErr w:type="spellEnd"/>
            <w:r w:rsidR="00804A3E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 </w:t>
            </w:r>
            <w:proofErr w:type="spellStart"/>
            <w:r w:rsidR="00804A3E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Professor</w:t>
            </w:r>
            <w:proofErr w:type="spellEnd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 </w:t>
            </w:r>
            <w:proofErr w:type="spellStart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PhD</w:t>
            </w:r>
            <w:proofErr w:type="spellEnd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 </w:t>
            </w:r>
            <w:proofErr w:type="spellStart"/>
            <w:r w:rsidR="00804A3E" w:rsidRPr="00804A3E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Ionuţ</w:t>
            </w:r>
            <w:proofErr w:type="spellEnd"/>
            <w:r w:rsidR="00804A3E" w:rsidRPr="00804A3E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 Nistor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804A3E" w:rsidP="00626A52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Associate Professor</w:t>
            </w:r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 </w:t>
            </w:r>
            <w:proofErr w:type="spellStart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PhD</w:t>
            </w:r>
            <w:proofErr w:type="spellEnd"/>
            <w:r w:rsidR="00585BB9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 </w:t>
            </w:r>
            <w:r w:rsidRPr="00804A3E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 xml:space="preserve">Adrian </w:t>
            </w:r>
            <w:proofErr w:type="spellStart"/>
            <w:r w:rsidRPr="00804A3E">
              <w:rPr>
                <w:rFonts w:ascii="Arial Narrow" w:hAnsi="Arial Narrow" w:cs="Arial"/>
                <w:bCs/>
                <w:color w:val="000000" w:themeColor="text1"/>
                <w:lang w:val="ro-RO"/>
              </w:rPr>
              <w:t>Viţalaru</w:t>
            </w:r>
            <w:proofErr w:type="spellEnd"/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3A0C8D" w:rsidP="00653988">
            <w:pPr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Advanced level of </w:t>
            </w:r>
            <w:r w:rsidR="00856072" w:rsidRPr="00804A3E">
              <w:rPr>
                <w:rFonts w:ascii="Arial Narrow" w:hAnsi="Arial Narrow" w:cs="Arial"/>
              </w:rPr>
              <w:t>English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General and course-specific competences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486EC1" w:rsidRDefault="00814805" w:rsidP="00CA0D08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  <w:b/>
              </w:rPr>
              <w:t>General competences</w:t>
            </w:r>
            <w:r w:rsidR="00B0090F" w:rsidRPr="00486EC1">
              <w:rPr>
                <w:rFonts w:ascii="Arial Narrow" w:hAnsi="Arial Narrow" w:cs="Arial"/>
              </w:rPr>
              <w:t>:</w:t>
            </w:r>
          </w:p>
          <w:p w:rsidR="00AB1ECF" w:rsidRPr="00623BB4" w:rsidRDefault="00C371C6" w:rsidP="00623BB4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Oral and written communication skills, respect and development of professional values and ethics, problem solving and decision making, recognition and respect of diversity and multiculturalism, autonomy of learning, initiative and </w:t>
            </w:r>
            <w:r w:rsidR="008F7787">
              <w:rPr>
                <w:rFonts w:ascii="Arial Narrow" w:hAnsi="Arial Narrow" w:cs="Arial"/>
              </w:rPr>
              <w:t>openness for lifelong learning</w:t>
            </w:r>
            <w:r w:rsidR="00AB1ECF" w:rsidRPr="00623BB4">
              <w:rPr>
                <w:rFonts w:ascii="Arial Narrow" w:hAnsi="Arial Narrow" w:cs="Arial"/>
              </w:rPr>
              <w:t>.</w:t>
            </w:r>
          </w:p>
          <w:p w:rsidR="00B0090F" w:rsidRPr="00486EC1" w:rsidRDefault="00814805" w:rsidP="00BA0790">
            <w:pPr>
              <w:ind w:left="-35"/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  <w:b/>
              </w:rPr>
              <w:t>Course-specific competences</w:t>
            </w:r>
            <w:r w:rsidR="00B0090F" w:rsidRPr="00486EC1">
              <w:rPr>
                <w:rFonts w:ascii="Arial Narrow" w:hAnsi="Arial Narrow" w:cs="Arial"/>
              </w:rPr>
              <w:t>:</w:t>
            </w:r>
          </w:p>
          <w:p w:rsidR="001173F8" w:rsidRPr="00486EC1" w:rsidRDefault="00C57264" w:rsidP="001173F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Critical reflection and capacity to evaluate concrete situations in the form of valuable judgements</w:t>
            </w:r>
            <w:r w:rsidR="001173F8" w:rsidRPr="00486EC1">
              <w:rPr>
                <w:rFonts w:ascii="Arial Narrow" w:hAnsi="Arial Narrow" w:cs="Arial"/>
              </w:rPr>
              <w:t>.</w:t>
            </w:r>
          </w:p>
          <w:p w:rsidR="00715CAE" w:rsidRPr="00387DCF" w:rsidRDefault="000A0BE1" w:rsidP="000A0BE1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Demonstrating the skills of critical-constructive analysis of concepts, approaches, theories, events and historical processes in the form of descriptive judgments</w:t>
            </w:r>
            <w:r w:rsidR="00715CAE" w:rsidRPr="00387DCF">
              <w:rPr>
                <w:rFonts w:ascii="Arial Narrow" w:hAnsi="Arial Narrow" w:cs="Arial"/>
              </w:rPr>
              <w:t>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Fonts w:ascii="Arial Narrow" w:hAnsi="Arial Narrow" w:cs="Arial"/>
                <w:color w:val="FFFFFF" w:themeColor="background1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Learning</w:t>
            </w:r>
            <w:r w:rsidR="00E73124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outcomes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61679B" w:rsidRPr="00486EC1" w:rsidRDefault="00AB4689" w:rsidP="00AB4689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- </w:t>
            </w:r>
            <w:r w:rsidR="00B83345">
              <w:rPr>
                <w:rFonts w:ascii="Arial Narrow" w:hAnsi="Arial Narrow" w:cs="Arial"/>
              </w:rPr>
              <w:t>syn</w:t>
            </w:r>
            <w:r w:rsidR="002C3188">
              <w:rPr>
                <w:rFonts w:ascii="Arial Narrow" w:hAnsi="Arial Narrow" w:cs="Arial"/>
              </w:rPr>
              <w:t>thetic and thematic presentation of the evolution of international relations after the First World War</w:t>
            </w:r>
            <w:r w:rsidR="00146F0A" w:rsidRPr="00486EC1">
              <w:rPr>
                <w:rFonts w:ascii="Arial Narrow" w:hAnsi="Arial Narrow" w:cs="Arial"/>
              </w:rPr>
              <w:t>;</w:t>
            </w:r>
          </w:p>
          <w:p w:rsidR="003760E1" w:rsidRDefault="00AB4689" w:rsidP="002C3188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</w:rPr>
              <w:t xml:space="preserve">- </w:t>
            </w:r>
            <w:r w:rsidR="002C3188">
              <w:rPr>
                <w:rFonts w:ascii="Arial Narrow" w:hAnsi="Arial Narrow" w:cs="Arial"/>
              </w:rPr>
              <w:t>analysis of the consequences of the First and Second World Wars</w:t>
            </w:r>
            <w:r w:rsidR="00664523">
              <w:rPr>
                <w:rFonts w:ascii="Arial Narrow" w:hAnsi="Arial Narrow" w:cs="Arial"/>
              </w:rPr>
              <w:t>;</w:t>
            </w:r>
          </w:p>
          <w:p w:rsidR="00664523" w:rsidRDefault="00664523" w:rsidP="002C318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analysis of the effects of the economic crisis;</w:t>
            </w:r>
          </w:p>
          <w:p w:rsidR="00664523" w:rsidRDefault="00664523" w:rsidP="002C318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5803E2">
              <w:rPr>
                <w:rFonts w:ascii="Arial Narrow" w:hAnsi="Arial Narrow" w:cs="Arial"/>
              </w:rPr>
              <w:t>analysis of the effects of establishing communism worldwide;</w:t>
            </w:r>
          </w:p>
          <w:p w:rsidR="005803E2" w:rsidRDefault="005803E2" w:rsidP="002C318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192108">
              <w:rPr>
                <w:rFonts w:ascii="Arial Narrow" w:hAnsi="Arial Narrow" w:cs="Arial"/>
              </w:rPr>
              <w:t>presentation of models of economic and political development at regional and global level;</w:t>
            </w:r>
          </w:p>
          <w:p w:rsidR="00192108" w:rsidRDefault="00192108" w:rsidP="00B8334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1F289F">
              <w:rPr>
                <w:rFonts w:ascii="Arial Narrow" w:hAnsi="Arial Narrow" w:cs="Arial"/>
              </w:rPr>
              <w:t xml:space="preserve">knowledge, understanding and use of basic concepts, </w:t>
            </w:r>
            <w:r w:rsidR="00B83345">
              <w:rPr>
                <w:rFonts w:ascii="Arial Narrow" w:hAnsi="Arial Narrow" w:cs="Arial"/>
              </w:rPr>
              <w:t xml:space="preserve">approaches, </w:t>
            </w:r>
            <w:r w:rsidR="001F289F">
              <w:rPr>
                <w:rFonts w:ascii="Arial Narrow" w:hAnsi="Arial Narrow" w:cs="Arial"/>
              </w:rPr>
              <w:t xml:space="preserve">theories, </w:t>
            </w:r>
            <w:r w:rsidR="00B83345">
              <w:rPr>
                <w:rFonts w:ascii="Arial Narrow" w:hAnsi="Arial Narrow" w:cs="Arial"/>
              </w:rPr>
              <w:t xml:space="preserve">models and </w:t>
            </w:r>
            <w:r w:rsidR="001F289F">
              <w:rPr>
                <w:rFonts w:ascii="Arial Narrow" w:hAnsi="Arial Narrow" w:cs="Arial"/>
              </w:rPr>
              <w:t>methods</w:t>
            </w:r>
            <w:r w:rsidR="00B83345">
              <w:rPr>
                <w:rFonts w:ascii="Arial Narrow" w:hAnsi="Arial Narrow" w:cs="Arial"/>
              </w:rPr>
              <w:t xml:space="preserve"> the history of Romanian-Hungarian relations operates with;</w:t>
            </w:r>
          </w:p>
          <w:p w:rsidR="00B83345" w:rsidRDefault="00B83345" w:rsidP="00B8334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knowledge of the main political-ideological and cultural trends, political and international relations transformations, as well as of the economic changes which took place in the first two decades of the 20</w:t>
            </w:r>
            <w:r w:rsidRPr="00B83345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century at European level and in international context;</w:t>
            </w:r>
          </w:p>
          <w:p w:rsidR="00B83345" w:rsidRPr="00486EC1" w:rsidRDefault="00B83345" w:rsidP="00B83345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2E6D56">
              <w:rPr>
                <w:rFonts w:ascii="Arial Narrow" w:hAnsi="Arial Narrow" w:cs="Arial"/>
              </w:rPr>
              <w:t>mastering the historical language, written and verbal communication on issues regarding the history of Central and Eastern Europe in the 20</w:t>
            </w:r>
            <w:r w:rsidR="002E6D56" w:rsidRPr="002E6D56">
              <w:rPr>
                <w:rFonts w:ascii="Arial Narrow" w:hAnsi="Arial Narrow" w:cs="Arial"/>
                <w:vertAlign w:val="superscript"/>
              </w:rPr>
              <w:t>th</w:t>
            </w:r>
            <w:r w:rsidR="002E6D56">
              <w:rPr>
                <w:rFonts w:ascii="Arial Narrow" w:hAnsi="Arial Narrow" w:cs="Arial"/>
              </w:rPr>
              <w:t xml:space="preserve"> century.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Lecture content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9808D1" w:rsidRDefault="003760E1" w:rsidP="00A55B3F">
            <w:pPr>
              <w:jc w:val="both"/>
              <w:rPr>
                <w:rFonts w:ascii="Arial Narrow" w:hAnsi="Arial Narrow" w:cs="Arial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1. </w:t>
            </w:r>
            <w:r w:rsidR="00E07B74">
              <w:rPr>
                <w:rFonts w:ascii="Arial Narrow" w:hAnsi="Arial Narrow" w:cs="Arial"/>
                <w:color w:val="000000" w:themeColor="text1"/>
              </w:rPr>
              <w:t>Romania and Hungary at the end of the First World War</w:t>
            </w:r>
            <w:r w:rsidR="0036701D" w:rsidRPr="00486EC1">
              <w:rPr>
                <w:rFonts w:ascii="Arial Narrow" w:hAnsi="Arial Narrow" w:cs="Arial"/>
              </w:rPr>
              <w:t>.</w:t>
            </w:r>
          </w:p>
          <w:p w:rsidR="0036701D" w:rsidRPr="00486EC1" w:rsidRDefault="00E07B74" w:rsidP="00A55B3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 Romania, Hungary and the </w:t>
            </w:r>
            <w:r w:rsidR="0006336F">
              <w:rPr>
                <w:rFonts w:ascii="Arial Narrow" w:hAnsi="Arial Narrow" w:cs="Arial"/>
              </w:rPr>
              <w:t xml:space="preserve">Paris </w:t>
            </w:r>
            <w:r>
              <w:rPr>
                <w:rFonts w:ascii="Arial Narrow" w:hAnsi="Arial Narrow" w:cs="Arial"/>
              </w:rPr>
              <w:t>Peace Conference.</w:t>
            </w:r>
          </w:p>
          <w:p w:rsidR="009808D1" w:rsidRDefault="00E07B74" w:rsidP="00A55B3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3760E1" w:rsidRPr="00486EC1">
              <w:rPr>
                <w:rFonts w:ascii="Arial Narrow" w:hAnsi="Arial Narrow" w:cs="Arial"/>
              </w:rPr>
              <w:t xml:space="preserve">. </w:t>
            </w:r>
            <w:r w:rsidR="00695DC1">
              <w:rPr>
                <w:rFonts w:ascii="Arial Narrow" w:hAnsi="Arial Narrow" w:cs="Arial"/>
              </w:rPr>
              <w:t>Romania and the Republic of Councils in Hungary.</w:t>
            </w:r>
          </w:p>
          <w:p w:rsidR="003760E1" w:rsidRPr="00486EC1" w:rsidRDefault="00695DC1" w:rsidP="00A55B3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3760E1" w:rsidRPr="00486EC1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Romanian occupation </w:t>
            </w:r>
            <w:r w:rsidR="004B59EE">
              <w:rPr>
                <w:rFonts w:ascii="Arial Narrow" w:hAnsi="Arial Narrow" w:cs="Arial"/>
              </w:rPr>
              <w:t>of</w:t>
            </w:r>
            <w:r>
              <w:rPr>
                <w:rFonts w:ascii="Arial Narrow" w:hAnsi="Arial Narrow" w:cs="Arial"/>
              </w:rPr>
              <w:t xml:space="preserve"> Hungary.</w:t>
            </w:r>
          </w:p>
          <w:p w:rsidR="009808D1" w:rsidRDefault="00695DC1" w:rsidP="00146F0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3760E1" w:rsidRPr="00486EC1">
              <w:rPr>
                <w:rFonts w:ascii="Arial Narrow" w:hAnsi="Arial Narrow" w:cs="Arial"/>
              </w:rPr>
              <w:t xml:space="preserve">. </w:t>
            </w:r>
            <w:r w:rsidR="009808D1">
              <w:rPr>
                <w:rFonts w:ascii="Arial Narrow" w:hAnsi="Arial Narrow" w:cs="Arial"/>
              </w:rPr>
              <w:t>Treaty of Trianon.</w:t>
            </w:r>
          </w:p>
          <w:p w:rsidR="003760E1" w:rsidRPr="00486EC1" w:rsidRDefault="00695DC1" w:rsidP="00146F0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3760E1" w:rsidRPr="00486EC1">
              <w:rPr>
                <w:rFonts w:ascii="Arial Narrow" w:hAnsi="Arial Narrow" w:cs="Arial"/>
              </w:rPr>
              <w:t>.</w:t>
            </w:r>
            <w:r w:rsidR="007F5427">
              <w:rPr>
                <w:rFonts w:ascii="Arial Narrow" w:hAnsi="Arial Narrow" w:cs="Arial"/>
              </w:rPr>
              <w:t xml:space="preserve"> </w:t>
            </w:r>
            <w:r w:rsidR="00C05AA7">
              <w:rPr>
                <w:rFonts w:ascii="Arial Narrow" w:hAnsi="Arial Narrow" w:cs="Arial"/>
              </w:rPr>
              <w:t>The problems of reorganizing Central and Eastern Europe (1920-1923).</w:t>
            </w:r>
          </w:p>
          <w:p w:rsidR="009808D1" w:rsidRDefault="00C05AA7" w:rsidP="008E4A8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  <w:r w:rsidR="00146F06" w:rsidRPr="00486EC1">
              <w:rPr>
                <w:rFonts w:ascii="Arial Narrow" w:hAnsi="Arial Narrow" w:cs="Arial"/>
              </w:rPr>
              <w:t xml:space="preserve">. </w:t>
            </w:r>
            <w:r w:rsidR="009B403B">
              <w:rPr>
                <w:rFonts w:ascii="Arial Narrow" w:hAnsi="Arial Narrow" w:cs="Arial"/>
              </w:rPr>
              <w:t xml:space="preserve">Problems </w:t>
            </w:r>
            <w:r>
              <w:rPr>
                <w:rFonts w:ascii="Arial Narrow" w:hAnsi="Arial Narrow" w:cs="Arial"/>
              </w:rPr>
              <w:t>of the minorities</w:t>
            </w:r>
            <w:r w:rsidR="00146F06" w:rsidRPr="00486EC1">
              <w:rPr>
                <w:rFonts w:ascii="Arial Narrow" w:hAnsi="Arial Narrow" w:cs="Arial"/>
              </w:rPr>
              <w:t>.</w:t>
            </w:r>
          </w:p>
          <w:p w:rsidR="00146F06" w:rsidRDefault="00C05AA7" w:rsidP="008E4A8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8. </w:t>
            </w:r>
            <w:r w:rsidR="001A781F">
              <w:rPr>
                <w:rFonts w:ascii="Arial Narrow" w:hAnsi="Arial Narrow" w:cs="Arial"/>
              </w:rPr>
              <w:t>Revisionism and anti-revisionism.</w:t>
            </w:r>
          </w:p>
          <w:p w:rsidR="009808D1" w:rsidRDefault="001A781F" w:rsidP="001A781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8E4A8A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>Europe’s place in the world after the First World War</w:t>
            </w:r>
            <w:r w:rsidR="00EC0BE6">
              <w:rPr>
                <w:rFonts w:ascii="Arial Narrow" w:hAnsi="Arial Narrow" w:cs="Arial"/>
              </w:rPr>
              <w:t>.</w:t>
            </w:r>
          </w:p>
          <w:p w:rsidR="00EC0BE6" w:rsidRDefault="001A781F" w:rsidP="001A781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10. </w:t>
            </w:r>
            <w:r w:rsidR="009808D1">
              <w:rPr>
                <w:rFonts w:ascii="Arial Narrow" w:hAnsi="Arial Narrow" w:cs="Arial"/>
              </w:rPr>
              <w:t>Problems of the world crisis of the 1930s.</w:t>
            </w:r>
          </w:p>
          <w:p w:rsidR="009808D1" w:rsidRDefault="009808D1" w:rsidP="001A781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11. </w:t>
            </w:r>
            <w:r w:rsidR="008726EB">
              <w:rPr>
                <w:rFonts w:ascii="Arial Narrow" w:hAnsi="Arial Narrow" w:cs="Arial"/>
              </w:rPr>
              <w:t>The Second World War from the perspective of international relations.</w:t>
            </w:r>
          </w:p>
          <w:p w:rsidR="008726EB" w:rsidRDefault="008726EB" w:rsidP="001A781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 European construction – from project to reality.</w:t>
            </w:r>
          </w:p>
          <w:p w:rsidR="008726EB" w:rsidRDefault="008726EB" w:rsidP="001A781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13. </w:t>
            </w:r>
            <w:r w:rsidR="00095C7C">
              <w:rPr>
                <w:rFonts w:ascii="Arial Narrow" w:hAnsi="Arial Narrow" w:cs="Arial"/>
              </w:rPr>
              <w:t xml:space="preserve">Middle East crises – </w:t>
            </w:r>
            <w:proofErr w:type="spellStart"/>
            <w:r w:rsidR="00095C7C">
              <w:rPr>
                <w:rFonts w:ascii="Arial Narrow" w:hAnsi="Arial Narrow" w:cs="Arial"/>
              </w:rPr>
              <w:t>frem</w:t>
            </w:r>
            <w:proofErr w:type="spellEnd"/>
            <w:r w:rsidR="00095C7C">
              <w:rPr>
                <w:rFonts w:ascii="Arial Narrow" w:hAnsi="Arial Narrow" w:cs="Arial"/>
              </w:rPr>
              <w:t xml:space="preserve"> the establishment of the state of Israel to the Oslo agreements.</w:t>
            </w:r>
          </w:p>
          <w:p w:rsidR="00095C7C" w:rsidRPr="00486EC1" w:rsidRDefault="00095C7C" w:rsidP="001A781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14. </w:t>
            </w:r>
            <w:r w:rsidR="00692571">
              <w:rPr>
                <w:rFonts w:ascii="Arial Narrow" w:hAnsi="Arial Narrow" w:cs="Arial"/>
              </w:rPr>
              <w:t>The Far East – between the Japanese miracle and the Chinese communism.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reading for lectures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39138D" w:rsidRPr="0039138D" w:rsidRDefault="0039138D" w:rsidP="0039138D">
            <w:pPr>
              <w:pStyle w:val="Default"/>
              <w:ind w:left="289" w:hanging="284"/>
              <w:rPr>
                <w:rFonts w:ascii="Arial Narrow" w:hAnsi="Arial Narrow"/>
                <w:bCs/>
                <w:iCs/>
                <w:sz w:val="20"/>
                <w:szCs w:val="20"/>
                <w:u w:val="single"/>
                <w:lang w:val="ro-RO"/>
              </w:rPr>
            </w:pPr>
            <w:r w:rsidRPr="0039138D"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  <w:t xml:space="preserve">Leuştean, </w:t>
            </w:r>
            <w:r w:rsidR="00E34BF8" w:rsidRPr="0039138D"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  <w:t>Lucian</w:t>
            </w:r>
            <w:r w:rsidR="00E34BF8"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  <w:t>,</w:t>
            </w:r>
            <w:r w:rsidR="00E34BF8" w:rsidRPr="0039138D"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>România, Ungaria şi Tratatul de la Trianon, 1918-1920</w:t>
            </w:r>
            <w:r w:rsidRPr="0039138D"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9138D"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  <w:t>Iaşi</w:t>
            </w:r>
            <w:proofErr w:type="spellEnd"/>
            <w:r w:rsidRPr="0039138D"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  <w:t>, 2002.</w:t>
            </w:r>
          </w:p>
          <w:p w:rsidR="0039138D" w:rsidRPr="0039138D" w:rsidRDefault="0039138D" w:rsidP="0039138D">
            <w:pPr>
              <w:pStyle w:val="Default"/>
              <w:ind w:left="289" w:hanging="284"/>
              <w:rPr>
                <w:rFonts w:ascii="Arial Narrow" w:hAnsi="Arial Narrow"/>
                <w:bCs/>
                <w:iCs/>
                <w:sz w:val="20"/>
                <w:szCs w:val="20"/>
                <w:u w:val="single"/>
                <w:lang w:val="ro-RO"/>
              </w:rPr>
            </w:pPr>
            <w:r w:rsidRPr="0039138D"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  <w:t xml:space="preserve">Idem, </w:t>
            </w:r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>România şi Ungaria în cadrul „Noii Europe” (1920-1923)</w:t>
            </w:r>
            <w:r w:rsidRPr="0039138D"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  <w:t>, Iaşi, 2003.</w:t>
            </w:r>
          </w:p>
          <w:p w:rsidR="0039138D" w:rsidRPr="0039138D" w:rsidRDefault="0039138D" w:rsidP="0039138D">
            <w:pPr>
              <w:pStyle w:val="Default"/>
              <w:ind w:left="289" w:hanging="284"/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</w:pPr>
            <w:proofErr w:type="spellStart"/>
            <w:r w:rsidRPr="0039138D"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  <w:lastRenderedPageBreak/>
              <w:t>Ghişa</w:t>
            </w:r>
            <w:proofErr w:type="spellEnd"/>
            <w:r w:rsidRPr="0039138D"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  <w:t xml:space="preserve">, </w:t>
            </w:r>
            <w:r w:rsidR="00E34BF8" w:rsidRPr="0039138D"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  <w:t>Alexandru</w:t>
            </w:r>
            <w:r w:rsidR="00E34BF8"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  <w:t>,</w:t>
            </w:r>
            <w:r w:rsidR="00E34BF8" w:rsidRPr="0039138D"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 xml:space="preserve">Romania </w:t>
            </w:r>
            <w:proofErr w:type="spellStart"/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>and</w:t>
            </w:r>
            <w:proofErr w:type="spellEnd"/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 xml:space="preserve"> Hungary at </w:t>
            </w:r>
            <w:proofErr w:type="spellStart"/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>the</w:t>
            </w:r>
            <w:proofErr w:type="spellEnd"/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>Beginning</w:t>
            </w:r>
            <w:proofErr w:type="spellEnd"/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>the</w:t>
            </w:r>
            <w:proofErr w:type="spellEnd"/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 xml:space="preserve"> 20th </w:t>
            </w:r>
            <w:proofErr w:type="spellStart"/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>Century</w:t>
            </w:r>
            <w:proofErr w:type="spellEnd"/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>Establishing</w:t>
            </w:r>
            <w:proofErr w:type="spellEnd"/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 xml:space="preserve"> Diplomatic </w:t>
            </w:r>
            <w:proofErr w:type="spellStart"/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>Relations</w:t>
            </w:r>
            <w:proofErr w:type="spellEnd"/>
            <w:r w:rsidRPr="0039138D">
              <w:rPr>
                <w:rFonts w:ascii="Arial Narrow" w:hAnsi="Arial Narrow"/>
                <w:bCs/>
                <w:i/>
                <w:iCs/>
                <w:sz w:val="20"/>
                <w:szCs w:val="20"/>
                <w:lang w:val="ro-RO"/>
              </w:rPr>
              <w:t xml:space="preserve"> (1918-1920)</w:t>
            </w:r>
            <w:r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  <w:t>, Cluj-</w:t>
            </w:r>
            <w:r w:rsidRPr="0039138D">
              <w:rPr>
                <w:rFonts w:ascii="Arial Narrow" w:hAnsi="Arial Narrow"/>
                <w:bCs/>
                <w:iCs/>
                <w:sz w:val="20"/>
                <w:szCs w:val="20"/>
                <w:lang w:val="ro-RO"/>
              </w:rPr>
              <w:t>Napoca, 2003.</w:t>
            </w:r>
          </w:p>
          <w:p w:rsidR="0039138D" w:rsidRPr="0039138D" w:rsidRDefault="0039138D" w:rsidP="0039138D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Berstein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,</w:t>
            </w:r>
            <w:r w:rsidRPr="0039138D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</w:t>
            </w:r>
            <w:r w:rsidR="00E34BF8" w:rsidRPr="0039138D">
              <w:rPr>
                <w:rFonts w:ascii="Arial Narrow" w:hAnsi="Arial Narrow"/>
                <w:iCs/>
                <w:sz w:val="20"/>
                <w:szCs w:val="20"/>
                <w:lang w:val="ro-RO"/>
              </w:rPr>
              <w:t>Serge</w:t>
            </w:r>
            <w:r w:rsid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Pr="0039138D">
              <w:rPr>
                <w:rFonts w:ascii="Arial Narrow" w:hAnsi="Arial Narrow"/>
                <w:iCs/>
                <w:sz w:val="20"/>
                <w:szCs w:val="20"/>
                <w:lang w:val="ro-RO"/>
              </w:rPr>
              <w:t>ed., </w:t>
            </w:r>
            <w:r w:rsidRPr="0039138D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Istoria secolului XX</w:t>
            </w:r>
            <w:r w:rsidRPr="0039138D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vol. 2, 3, Bucureşti, 1998.</w:t>
            </w:r>
          </w:p>
          <w:p w:rsidR="00956ED0" w:rsidRPr="00486EC1" w:rsidRDefault="0039138D" w:rsidP="0039138D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Ciupercă,</w:t>
            </w:r>
            <w:r w:rsidRPr="0039138D">
              <w:rPr>
                <w:rFonts w:ascii="Arial Narrow" w:hAnsi="Arial Narrow"/>
                <w:iCs/>
                <w:sz w:val="20"/>
                <w:szCs w:val="20"/>
                <w:lang w:val="ro-RO"/>
              </w:rPr>
              <w:t> </w:t>
            </w:r>
            <w:r w:rsidR="00E34BF8" w:rsidRPr="0039138D">
              <w:rPr>
                <w:rFonts w:ascii="Arial Narrow" w:hAnsi="Arial Narrow"/>
                <w:iCs/>
                <w:sz w:val="20"/>
                <w:szCs w:val="20"/>
                <w:lang w:val="ro-RO"/>
              </w:rPr>
              <w:t>Ioan</w:t>
            </w:r>
            <w:r w:rsid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>,</w:t>
            </w:r>
            <w:r w:rsidR="00E34BF8" w:rsidRPr="0039138D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</w:t>
            </w:r>
            <w:r w:rsidRPr="0039138D">
              <w:rPr>
                <w:rFonts w:ascii="Arial Narrow" w:hAnsi="Arial Narrow"/>
                <w:iCs/>
                <w:sz w:val="20"/>
                <w:szCs w:val="20"/>
                <w:lang w:val="ro-RO"/>
              </w:rPr>
              <w:t>Lucian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</w:t>
            </w:r>
            <w:r w:rsidRPr="0039138D">
              <w:rPr>
                <w:rFonts w:ascii="Arial Narrow" w:hAnsi="Arial Narrow"/>
                <w:iCs/>
                <w:sz w:val="20"/>
                <w:szCs w:val="20"/>
                <w:lang w:val="ro-RO"/>
              </w:rPr>
              <w:t>Leuştean, </w:t>
            </w:r>
            <w:r w:rsidRPr="0039138D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Istoria ideii de Europa şi a integrării europene după 1945</w:t>
            </w:r>
            <w:r w:rsidRPr="0039138D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Iaşi, 2004.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lastRenderedPageBreak/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 content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F22021" w:rsidRPr="00486EC1" w:rsidRDefault="000611B0" w:rsidP="00C03D3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 </w:t>
            </w:r>
            <w:r w:rsidR="0006336F">
              <w:rPr>
                <w:rFonts w:ascii="Arial Narrow" w:hAnsi="Arial Narrow" w:cs="Arial"/>
              </w:rPr>
              <w:t>Romania, Hungary and the Paris Peace Conference</w:t>
            </w:r>
            <w:r>
              <w:rPr>
                <w:rFonts w:ascii="Arial Narrow" w:hAnsi="Arial Narrow" w:cs="Arial"/>
              </w:rPr>
              <w:t>.</w:t>
            </w:r>
          </w:p>
          <w:p w:rsidR="00034D38" w:rsidRPr="00486EC1" w:rsidRDefault="000611B0" w:rsidP="00AB562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 </w:t>
            </w:r>
            <w:r w:rsidR="004B59EE">
              <w:rPr>
                <w:rFonts w:ascii="Arial Narrow" w:hAnsi="Arial Narrow" w:cs="Arial"/>
              </w:rPr>
              <w:t>Romanian occupation of Hungary</w:t>
            </w:r>
            <w:r w:rsidR="00642B59">
              <w:rPr>
                <w:rFonts w:ascii="Arial Narrow" w:hAnsi="Arial Narrow" w:cs="Arial"/>
              </w:rPr>
              <w:t>.</w:t>
            </w:r>
          </w:p>
          <w:p w:rsidR="003A21C1" w:rsidRDefault="00642B59" w:rsidP="0065636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3A21C1" w:rsidRPr="00486EC1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  <w:r w:rsidR="00601DAF">
              <w:rPr>
                <w:rFonts w:ascii="Arial Narrow" w:hAnsi="Arial Narrow" w:cs="Arial"/>
              </w:rPr>
              <w:t>Issues of reorganizing Central and Eastern Europe (1920-1923)</w:t>
            </w:r>
            <w:r>
              <w:rPr>
                <w:rFonts w:ascii="Arial Narrow" w:hAnsi="Arial Narrow" w:cs="Arial"/>
              </w:rPr>
              <w:t>.</w:t>
            </w:r>
          </w:p>
          <w:p w:rsidR="0065636A" w:rsidRDefault="0065636A" w:rsidP="00601DA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4. </w:t>
            </w:r>
            <w:r w:rsidR="00601DAF">
              <w:rPr>
                <w:rFonts w:ascii="Arial Narrow" w:hAnsi="Arial Narrow" w:cs="Arial"/>
              </w:rPr>
              <w:t>Revisionism and anti-revisionism</w:t>
            </w:r>
            <w:r>
              <w:rPr>
                <w:rFonts w:ascii="Arial Narrow" w:hAnsi="Arial Narrow" w:cs="Arial"/>
              </w:rPr>
              <w:t>.</w:t>
            </w:r>
          </w:p>
          <w:p w:rsidR="00601DAF" w:rsidRDefault="00601DAF" w:rsidP="00601DA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 The Paris Peace Conference (1919-1920).</w:t>
            </w:r>
          </w:p>
          <w:p w:rsidR="00601DAF" w:rsidRDefault="00601DAF" w:rsidP="00601DA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 The League of Nations.</w:t>
            </w:r>
          </w:p>
          <w:p w:rsidR="00601DAF" w:rsidRDefault="00601DAF" w:rsidP="00601DA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 National Socialist Germany (1933-1939).</w:t>
            </w:r>
          </w:p>
          <w:p w:rsidR="00601DAF" w:rsidRDefault="00601DAF" w:rsidP="00601DA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8. </w:t>
            </w:r>
            <w:r w:rsidR="002E3C05">
              <w:rPr>
                <w:rFonts w:ascii="Arial Narrow" w:hAnsi="Arial Narrow" w:cs="Arial"/>
              </w:rPr>
              <w:t>The history of the Second World War: causes, protagonists, evolution, consequences.</w:t>
            </w:r>
          </w:p>
          <w:p w:rsidR="002E3C05" w:rsidRDefault="002E3C05" w:rsidP="00601DA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 Formation of the East-European communist bloc.</w:t>
            </w:r>
          </w:p>
          <w:p w:rsidR="002E3C05" w:rsidRDefault="002E3C05" w:rsidP="00601DA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 Crises in the Eastern bloc.</w:t>
            </w:r>
          </w:p>
          <w:p w:rsidR="002E3C05" w:rsidRDefault="002E3C05" w:rsidP="00601DA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 Crises of the Cold War.</w:t>
            </w:r>
          </w:p>
          <w:p w:rsidR="002E3C05" w:rsidRPr="00486EC1" w:rsidRDefault="002E3C05" w:rsidP="00601DA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 International organizations (UN, NATO).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reading for </w:t>
            </w:r>
            <w:r w:rsidR="00B0090F"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</w:t>
            </w: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E34BF8" w:rsidRPr="00E34BF8" w:rsidRDefault="00E34BF8" w:rsidP="00E34BF8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Ciupercă, Ioan, Bold, Emilian, </w:t>
            </w:r>
            <w:r w:rsidRPr="00E34BF8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Europa în derivă (1918-1940). Din istoria relaţiilor internaţionale</w:t>
            </w:r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Iaşi, 2001.</w:t>
            </w:r>
          </w:p>
          <w:p w:rsidR="00E34BF8" w:rsidRPr="00E34BF8" w:rsidRDefault="00E34BF8" w:rsidP="00E34BF8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proofErr w:type="spellStart"/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>Duroselle</w:t>
            </w:r>
            <w:proofErr w:type="spellEnd"/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>, Jean-Baptiste, </w:t>
            </w:r>
            <w:r w:rsidRPr="00E34BF8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Istoria </w:t>
            </w:r>
            <w:proofErr w:type="spellStart"/>
            <w:r w:rsidRPr="00E34BF8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relaţiilor</w:t>
            </w:r>
            <w:proofErr w:type="spellEnd"/>
            <w:r w:rsidRPr="00E34BF8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34BF8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internaţionale</w:t>
            </w:r>
            <w:proofErr w:type="spellEnd"/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vol.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</w:t>
            </w:r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>I, II, Bucureşti, 1996.</w:t>
            </w:r>
          </w:p>
          <w:p w:rsidR="00E34BF8" w:rsidRPr="00E34BF8" w:rsidRDefault="00E34BF8" w:rsidP="00E34BF8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>Kissinger, Henry, </w:t>
            </w:r>
            <w:proofErr w:type="spellStart"/>
            <w:r w:rsidRPr="00E34BF8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Diplomaţia</w:t>
            </w:r>
            <w:proofErr w:type="spellEnd"/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2004.</w:t>
            </w:r>
          </w:p>
          <w:p w:rsidR="00E34BF8" w:rsidRPr="00E34BF8" w:rsidRDefault="00E34BF8" w:rsidP="00E34BF8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proofErr w:type="spellStart"/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>Hobsbawm</w:t>
            </w:r>
            <w:proofErr w:type="spellEnd"/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>, Eric, </w:t>
            </w:r>
            <w:r w:rsidRPr="00E34BF8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O istorie a secolului XX: era extremelor: 1914-1991</w:t>
            </w:r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Chişinău, 1999.</w:t>
            </w:r>
          </w:p>
          <w:p w:rsidR="00EC7908" w:rsidRPr="00486EC1" w:rsidRDefault="00E34BF8" w:rsidP="00E34BF8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proofErr w:type="spellStart"/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>Liddell</w:t>
            </w:r>
            <w:proofErr w:type="spellEnd"/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>Hart</w:t>
            </w:r>
            <w:proofErr w:type="spellEnd"/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 Basil Henry, </w:t>
            </w:r>
            <w:r w:rsidRPr="00E34BF8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Istoria celui de-al doilea război mondial</w:t>
            </w:r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v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ol. I, II</w:t>
            </w:r>
            <w:r w:rsidRPr="00E34BF8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Bucureşti, 2006.</w:t>
            </w:r>
          </w:p>
        </w:tc>
      </w:tr>
      <w:tr w:rsidR="00B0090F" w:rsidRPr="00486EC1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486EC1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FFFFFF" w:themeColor="background1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486EC1" w:rsidRDefault="0075756B" w:rsidP="0075756B">
            <w:pPr>
              <w:jc w:val="both"/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486EC1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9E186A" w:rsidP="009E186A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learning and teaching</w:t>
            </w:r>
            <w:r w:rsidR="0034318D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486EC1">
              <w:rPr>
                <w:rFonts w:ascii="Arial Narrow" w:hAnsi="Arial Narrow" w:cs="Arial"/>
                <w:b/>
                <w:color w:val="000000" w:themeColor="text1"/>
              </w:rPr>
              <w:t>Lecture:</w:t>
            </w:r>
          </w:p>
          <w:p w:rsidR="00E73124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0234A0">
              <w:rPr>
                <w:rFonts w:ascii="Arial Narrow" w:hAnsi="Arial Narrow" w:cs="Arial"/>
                <w:color w:val="000000" w:themeColor="text1"/>
              </w:rPr>
              <w:t>lecture</w:t>
            </w:r>
          </w:p>
          <w:p w:rsidR="00E73124" w:rsidRPr="00486EC1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486EC1">
              <w:rPr>
                <w:rFonts w:ascii="Arial Narrow" w:hAnsi="Arial Narrow" w:cs="Arial"/>
                <w:b/>
                <w:color w:val="000000" w:themeColor="text1"/>
              </w:rPr>
              <w:t>Seminar:</w:t>
            </w:r>
          </w:p>
          <w:p w:rsidR="0065636A" w:rsidRDefault="0065636A" w:rsidP="0065636A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F55C7A">
              <w:rPr>
                <w:rFonts w:ascii="Arial Narrow" w:hAnsi="Arial Narrow" w:cs="Arial"/>
                <w:color w:val="000000" w:themeColor="text1"/>
              </w:rPr>
              <w:t>debate</w:t>
            </w:r>
          </w:p>
          <w:p w:rsidR="00E34BF8" w:rsidRDefault="00E34BF8" w:rsidP="0065636A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conversation</w:t>
            </w:r>
          </w:p>
          <w:p w:rsidR="003C2707" w:rsidRPr="00486EC1" w:rsidRDefault="003C2707" w:rsidP="00E34BF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E34BF8">
              <w:rPr>
                <w:rFonts w:ascii="Arial Narrow" w:hAnsi="Arial Narrow" w:cs="Arial"/>
                <w:color w:val="000000" w:themeColor="text1"/>
              </w:rPr>
              <w:t>document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analysis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9E186A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assessment</w:t>
            </w:r>
            <w:r w:rsidR="0034318D"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FD580E" w:rsidRPr="00486EC1" w:rsidRDefault="002E09A3" w:rsidP="00500599">
            <w:pPr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65636A">
              <w:rPr>
                <w:rFonts w:ascii="Arial Narrow" w:hAnsi="Arial Narrow" w:cs="Arial"/>
                <w:color w:val="000000" w:themeColor="text1"/>
              </w:rPr>
              <w:t>Written</w:t>
            </w:r>
            <w:r w:rsidR="00E11032" w:rsidRPr="00486EC1">
              <w:rPr>
                <w:rFonts w:ascii="Arial Narrow" w:hAnsi="Arial Narrow" w:cs="Arial"/>
                <w:color w:val="000000" w:themeColor="text1"/>
              </w:rPr>
              <w:t xml:space="preserve"> exam</w:t>
            </w:r>
            <w:r w:rsidRPr="00486EC1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="00E34BF8">
              <w:rPr>
                <w:rFonts w:ascii="Arial Narrow" w:hAnsi="Arial Narrow" w:cs="Arial"/>
                <w:color w:val="000000" w:themeColor="text1"/>
              </w:rPr>
              <w:t>8</w:t>
            </w:r>
            <w:r w:rsidR="00FD580E" w:rsidRPr="00486EC1">
              <w:rPr>
                <w:rFonts w:ascii="Arial Narrow" w:hAnsi="Arial Narrow" w:cs="Arial"/>
                <w:color w:val="000000" w:themeColor="text1"/>
              </w:rPr>
              <w:t>0%)</w:t>
            </w:r>
          </w:p>
          <w:p w:rsidR="000874C7" w:rsidRPr="00486EC1" w:rsidRDefault="005B4AB9" w:rsidP="00F55C7A">
            <w:pPr>
              <w:rPr>
                <w:rFonts w:ascii="Arial Narrow" w:hAnsi="Arial Narrow" w:cs="Arial"/>
                <w:color w:val="000000" w:themeColor="text1"/>
              </w:rPr>
            </w:pPr>
            <w:r w:rsidRPr="00486EC1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F55C7A">
              <w:rPr>
                <w:rFonts w:ascii="Arial Narrow" w:hAnsi="Arial Narrow" w:cs="Arial"/>
                <w:color w:val="000000" w:themeColor="text1"/>
              </w:rPr>
              <w:t>Seminar activity</w:t>
            </w:r>
            <w:r w:rsidRPr="00486EC1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E34BF8">
              <w:rPr>
                <w:rFonts w:ascii="Arial Narrow" w:hAnsi="Arial Narrow" w:cs="Arial"/>
                <w:color w:val="000000" w:themeColor="text1"/>
              </w:rPr>
              <w:t>(2</w:t>
            </w:r>
            <w:r w:rsidR="000874C7" w:rsidRPr="00486EC1">
              <w:rPr>
                <w:rFonts w:ascii="Arial Narrow" w:hAnsi="Arial Narrow" w:cs="Arial"/>
                <w:color w:val="000000" w:themeColor="text1"/>
              </w:rPr>
              <w:t>0%)</w:t>
            </w:r>
          </w:p>
        </w:tc>
      </w:tr>
      <w:tr w:rsidR="00B0090F" w:rsidRPr="00486EC1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486EC1" w:rsidRDefault="00254D05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486EC1">
              <w:rPr>
                <w:rStyle w:val="Referiresubtil"/>
                <w:rFonts w:ascii="Arial Narrow" w:hAnsi="Arial Narrow" w:cs="Arial"/>
                <w:color w:val="000000" w:themeColor="text1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486EC1" w:rsidRDefault="003F47EF" w:rsidP="00804A3E">
            <w:pPr>
              <w:rPr>
                <w:rFonts w:ascii="Arial Narrow" w:hAnsi="Arial Narrow" w:cs="Arial"/>
                <w:color w:val="000000" w:themeColor="text1"/>
              </w:rPr>
            </w:pPr>
            <w:r w:rsidRPr="00804A3E">
              <w:rPr>
                <w:rFonts w:ascii="Arial Narrow" w:hAnsi="Arial Narrow" w:cs="Arial"/>
                <w:color w:val="000000" w:themeColor="text1"/>
              </w:rPr>
              <w:t>English</w:t>
            </w:r>
          </w:p>
        </w:tc>
      </w:tr>
    </w:tbl>
    <w:p w:rsidR="00B0090F" w:rsidRPr="00486EC1" w:rsidRDefault="00B0090F" w:rsidP="00014D0E">
      <w:pPr>
        <w:spacing w:after="0" w:line="240" w:lineRule="auto"/>
        <w:jc w:val="both"/>
        <w:rPr>
          <w:rStyle w:val="Referiresubtil"/>
          <w:rFonts w:ascii="Arial Narrow" w:hAnsi="Arial Narrow" w:cs="Arial"/>
          <w:sz w:val="16"/>
          <w:szCs w:val="16"/>
        </w:rPr>
      </w:pPr>
    </w:p>
    <w:sectPr w:rsidR="00B0090F" w:rsidRPr="00486EC1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EB"/>
    <w:multiLevelType w:val="hybridMultilevel"/>
    <w:tmpl w:val="2118E2B2"/>
    <w:lvl w:ilvl="0" w:tplc="E8083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273141FC"/>
    <w:multiLevelType w:val="hybridMultilevel"/>
    <w:tmpl w:val="65AC170C"/>
    <w:lvl w:ilvl="0" w:tplc="FD601574">
      <w:numFmt w:val="bullet"/>
      <w:lvlText w:val="-"/>
      <w:lvlJc w:val="left"/>
      <w:pPr>
        <w:ind w:left="685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6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72A86525"/>
    <w:multiLevelType w:val="hybridMultilevel"/>
    <w:tmpl w:val="75D4D680"/>
    <w:lvl w:ilvl="0" w:tplc="ACD60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F"/>
    <w:rsid w:val="00001046"/>
    <w:rsid w:val="000102EA"/>
    <w:rsid w:val="00014D0E"/>
    <w:rsid w:val="000234A0"/>
    <w:rsid w:val="00026751"/>
    <w:rsid w:val="000268EE"/>
    <w:rsid w:val="000320D4"/>
    <w:rsid w:val="00034D38"/>
    <w:rsid w:val="00040902"/>
    <w:rsid w:val="00042B2C"/>
    <w:rsid w:val="000611B0"/>
    <w:rsid w:val="00062D35"/>
    <w:rsid w:val="0006336F"/>
    <w:rsid w:val="000708B6"/>
    <w:rsid w:val="00071C0E"/>
    <w:rsid w:val="00071E65"/>
    <w:rsid w:val="000775F5"/>
    <w:rsid w:val="000874C7"/>
    <w:rsid w:val="00095C7C"/>
    <w:rsid w:val="000A0BE1"/>
    <w:rsid w:val="000A5E76"/>
    <w:rsid w:val="000B3252"/>
    <w:rsid w:val="000D05D9"/>
    <w:rsid w:val="000D46CC"/>
    <w:rsid w:val="000E1357"/>
    <w:rsid w:val="000E2602"/>
    <w:rsid w:val="000E7E1E"/>
    <w:rsid w:val="000F4011"/>
    <w:rsid w:val="000F4B3D"/>
    <w:rsid w:val="000F6F65"/>
    <w:rsid w:val="001000C1"/>
    <w:rsid w:val="001105DA"/>
    <w:rsid w:val="001108BC"/>
    <w:rsid w:val="00111565"/>
    <w:rsid w:val="001173F8"/>
    <w:rsid w:val="00120276"/>
    <w:rsid w:val="001338A8"/>
    <w:rsid w:val="0013449D"/>
    <w:rsid w:val="00134E87"/>
    <w:rsid w:val="00135D5E"/>
    <w:rsid w:val="0014382B"/>
    <w:rsid w:val="001454CA"/>
    <w:rsid w:val="00146F06"/>
    <w:rsid w:val="00146F0A"/>
    <w:rsid w:val="0016033E"/>
    <w:rsid w:val="00163AA8"/>
    <w:rsid w:val="0017001E"/>
    <w:rsid w:val="001742C6"/>
    <w:rsid w:val="00185E22"/>
    <w:rsid w:val="00186AA1"/>
    <w:rsid w:val="00190E18"/>
    <w:rsid w:val="00191A70"/>
    <w:rsid w:val="00192108"/>
    <w:rsid w:val="001A0279"/>
    <w:rsid w:val="001A041C"/>
    <w:rsid w:val="001A2938"/>
    <w:rsid w:val="001A781F"/>
    <w:rsid w:val="001B1C24"/>
    <w:rsid w:val="001C6F46"/>
    <w:rsid w:val="001D2E76"/>
    <w:rsid w:val="001E0A04"/>
    <w:rsid w:val="001E1E4E"/>
    <w:rsid w:val="001E737E"/>
    <w:rsid w:val="001F289F"/>
    <w:rsid w:val="00203EA6"/>
    <w:rsid w:val="00205C3C"/>
    <w:rsid w:val="00206488"/>
    <w:rsid w:val="00213B01"/>
    <w:rsid w:val="00216706"/>
    <w:rsid w:val="00221ABD"/>
    <w:rsid w:val="00225F9C"/>
    <w:rsid w:val="00231705"/>
    <w:rsid w:val="002404BC"/>
    <w:rsid w:val="00245CC6"/>
    <w:rsid w:val="002468E3"/>
    <w:rsid w:val="00246B65"/>
    <w:rsid w:val="0025093C"/>
    <w:rsid w:val="00254D05"/>
    <w:rsid w:val="00260F5F"/>
    <w:rsid w:val="00261342"/>
    <w:rsid w:val="00261C85"/>
    <w:rsid w:val="00270C89"/>
    <w:rsid w:val="00272115"/>
    <w:rsid w:val="00295F20"/>
    <w:rsid w:val="002A1706"/>
    <w:rsid w:val="002A2ED8"/>
    <w:rsid w:val="002A4DB3"/>
    <w:rsid w:val="002A5AB1"/>
    <w:rsid w:val="002A77FE"/>
    <w:rsid w:val="002B6A6C"/>
    <w:rsid w:val="002C2502"/>
    <w:rsid w:val="002C2F2F"/>
    <w:rsid w:val="002C3188"/>
    <w:rsid w:val="002C7E9F"/>
    <w:rsid w:val="002E09A3"/>
    <w:rsid w:val="002E374F"/>
    <w:rsid w:val="002E3C05"/>
    <w:rsid w:val="002E6D56"/>
    <w:rsid w:val="002F53FA"/>
    <w:rsid w:val="002F5F3A"/>
    <w:rsid w:val="002F662E"/>
    <w:rsid w:val="00301A5F"/>
    <w:rsid w:val="003041EC"/>
    <w:rsid w:val="00312164"/>
    <w:rsid w:val="003123C0"/>
    <w:rsid w:val="00320751"/>
    <w:rsid w:val="003245E3"/>
    <w:rsid w:val="00326CD6"/>
    <w:rsid w:val="00330485"/>
    <w:rsid w:val="00331B9B"/>
    <w:rsid w:val="003341C3"/>
    <w:rsid w:val="00336803"/>
    <w:rsid w:val="0034318D"/>
    <w:rsid w:val="00346CFB"/>
    <w:rsid w:val="00356894"/>
    <w:rsid w:val="00365BDF"/>
    <w:rsid w:val="0036701D"/>
    <w:rsid w:val="00373E79"/>
    <w:rsid w:val="00374468"/>
    <w:rsid w:val="003760E1"/>
    <w:rsid w:val="00384FBA"/>
    <w:rsid w:val="00387DCF"/>
    <w:rsid w:val="0039138D"/>
    <w:rsid w:val="00393E81"/>
    <w:rsid w:val="00397539"/>
    <w:rsid w:val="003A0C8D"/>
    <w:rsid w:val="003A21C1"/>
    <w:rsid w:val="003B4587"/>
    <w:rsid w:val="003C2707"/>
    <w:rsid w:val="003D3714"/>
    <w:rsid w:val="003D69F8"/>
    <w:rsid w:val="003E2681"/>
    <w:rsid w:val="003E3101"/>
    <w:rsid w:val="003F24D4"/>
    <w:rsid w:val="003F25D9"/>
    <w:rsid w:val="003F47EF"/>
    <w:rsid w:val="003F6C18"/>
    <w:rsid w:val="003F75DC"/>
    <w:rsid w:val="00401593"/>
    <w:rsid w:val="00402F29"/>
    <w:rsid w:val="00405589"/>
    <w:rsid w:val="00406A91"/>
    <w:rsid w:val="00412DA6"/>
    <w:rsid w:val="00414337"/>
    <w:rsid w:val="00422A18"/>
    <w:rsid w:val="00424B8A"/>
    <w:rsid w:val="00425460"/>
    <w:rsid w:val="00427C2F"/>
    <w:rsid w:val="00430F0A"/>
    <w:rsid w:val="004424AA"/>
    <w:rsid w:val="0044302D"/>
    <w:rsid w:val="00444C40"/>
    <w:rsid w:val="00447F38"/>
    <w:rsid w:val="00483FB0"/>
    <w:rsid w:val="00486EC1"/>
    <w:rsid w:val="00496952"/>
    <w:rsid w:val="00496C84"/>
    <w:rsid w:val="004A11C8"/>
    <w:rsid w:val="004A448E"/>
    <w:rsid w:val="004B0331"/>
    <w:rsid w:val="004B5092"/>
    <w:rsid w:val="004B59EE"/>
    <w:rsid w:val="004B72EF"/>
    <w:rsid w:val="004D0D05"/>
    <w:rsid w:val="004D2FB8"/>
    <w:rsid w:val="004D5D8D"/>
    <w:rsid w:val="004E44F8"/>
    <w:rsid w:val="004E4909"/>
    <w:rsid w:val="00500599"/>
    <w:rsid w:val="00502439"/>
    <w:rsid w:val="005057E4"/>
    <w:rsid w:val="00505DDB"/>
    <w:rsid w:val="00507A36"/>
    <w:rsid w:val="005101E0"/>
    <w:rsid w:val="00511531"/>
    <w:rsid w:val="00524536"/>
    <w:rsid w:val="00527D83"/>
    <w:rsid w:val="00531C38"/>
    <w:rsid w:val="005556C0"/>
    <w:rsid w:val="0055700D"/>
    <w:rsid w:val="005618BE"/>
    <w:rsid w:val="00570CA1"/>
    <w:rsid w:val="005803E2"/>
    <w:rsid w:val="005818D4"/>
    <w:rsid w:val="00582F40"/>
    <w:rsid w:val="00585BB9"/>
    <w:rsid w:val="00587E09"/>
    <w:rsid w:val="00594FE4"/>
    <w:rsid w:val="005951D7"/>
    <w:rsid w:val="005A6FF1"/>
    <w:rsid w:val="005A76C4"/>
    <w:rsid w:val="005B4AB9"/>
    <w:rsid w:val="005B5F33"/>
    <w:rsid w:val="005C093E"/>
    <w:rsid w:val="005C2725"/>
    <w:rsid w:val="005C4D1D"/>
    <w:rsid w:val="005C6E93"/>
    <w:rsid w:val="005C7815"/>
    <w:rsid w:val="005D081B"/>
    <w:rsid w:val="005F24E5"/>
    <w:rsid w:val="005F2D84"/>
    <w:rsid w:val="005F5153"/>
    <w:rsid w:val="005F6BD9"/>
    <w:rsid w:val="00601341"/>
    <w:rsid w:val="00601D77"/>
    <w:rsid w:val="00601DAF"/>
    <w:rsid w:val="0060212F"/>
    <w:rsid w:val="00602EFD"/>
    <w:rsid w:val="00606CE8"/>
    <w:rsid w:val="0061679B"/>
    <w:rsid w:val="00617888"/>
    <w:rsid w:val="00622E31"/>
    <w:rsid w:val="00623BB4"/>
    <w:rsid w:val="00626A52"/>
    <w:rsid w:val="006403BC"/>
    <w:rsid w:val="00642B59"/>
    <w:rsid w:val="006443C4"/>
    <w:rsid w:val="00647103"/>
    <w:rsid w:val="00647D9C"/>
    <w:rsid w:val="00653988"/>
    <w:rsid w:val="00653AD9"/>
    <w:rsid w:val="0065636A"/>
    <w:rsid w:val="00656CC7"/>
    <w:rsid w:val="00660D78"/>
    <w:rsid w:val="00662234"/>
    <w:rsid w:val="00662BFA"/>
    <w:rsid w:val="00664523"/>
    <w:rsid w:val="006679AA"/>
    <w:rsid w:val="00675DD5"/>
    <w:rsid w:val="00676CAB"/>
    <w:rsid w:val="006772B8"/>
    <w:rsid w:val="00684219"/>
    <w:rsid w:val="006852DA"/>
    <w:rsid w:val="0068628B"/>
    <w:rsid w:val="00686349"/>
    <w:rsid w:val="00692150"/>
    <w:rsid w:val="00692571"/>
    <w:rsid w:val="00693B3A"/>
    <w:rsid w:val="006954CA"/>
    <w:rsid w:val="00695DC1"/>
    <w:rsid w:val="00696887"/>
    <w:rsid w:val="006A0C9B"/>
    <w:rsid w:val="006A2836"/>
    <w:rsid w:val="006A5499"/>
    <w:rsid w:val="006A649D"/>
    <w:rsid w:val="006B05DA"/>
    <w:rsid w:val="006B0E91"/>
    <w:rsid w:val="006B2E9D"/>
    <w:rsid w:val="006B54E8"/>
    <w:rsid w:val="006D41A0"/>
    <w:rsid w:val="006E2065"/>
    <w:rsid w:val="006E74A8"/>
    <w:rsid w:val="006F4B8E"/>
    <w:rsid w:val="006F5DC0"/>
    <w:rsid w:val="006F7E86"/>
    <w:rsid w:val="00700EFF"/>
    <w:rsid w:val="00701948"/>
    <w:rsid w:val="00705087"/>
    <w:rsid w:val="007126B6"/>
    <w:rsid w:val="00715CAE"/>
    <w:rsid w:val="007219BB"/>
    <w:rsid w:val="007263BB"/>
    <w:rsid w:val="0073066C"/>
    <w:rsid w:val="007367BA"/>
    <w:rsid w:val="00737771"/>
    <w:rsid w:val="00744130"/>
    <w:rsid w:val="00752A75"/>
    <w:rsid w:val="0075756B"/>
    <w:rsid w:val="00770A1E"/>
    <w:rsid w:val="00771669"/>
    <w:rsid w:val="00787BD0"/>
    <w:rsid w:val="0079005B"/>
    <w:rsid w:val="007A2296"/>
    <w:rsid w:val="007A36C9"/>
    <w:rsid w:val="007A4228"/>
    <w:rsid w:val="007A7B76"/>
    <w:rsid w:val="007B122A"/>
    <w:rsid w:val="007B75F6"/>
    <w:rsid w:val="007D09CA"/>
    <w:rsid w:val="007E1B7F"/>
    <w:rsid w:val="007E3AFD"/>
    <w:rsid w:val="007F353B"/>
    <w:rsid w:val="007F368A"/>
    <w:rsid w:val="007F4521"/>
    <w:rsid w:val="007F5427"/>
    <w:rsid w:val="007F6E2D"/>
    <w:rsid w:val="0080019A"/>
    <w:rsid w:val="008003E6"/>
    <w:rsid w:val="00804A3E"/>
    <w:rsid w:val="0081359F"/>
    <w:rsid w:val="00814805"/>
    <w:rsid w:val="00824B7D"/>
    <w:rsid w:val="00827E33"/>
    <w:rsid w:val="00830C13"/>
    <w:rsid w:val="00830DB8"/>
    <w:rsid w:val="00831B29"/>
    <w:rsid w:val="00831FB4"/>
    <w:rsid w:val="00854202"/>
    <w:rsid w:val="00856072"/>
    <w:rsid w:val="008726EB"/>
    <w:rsid w:val="0087381F"/>
    <w:rsid w:val="008871DD"/>
    <w:rsid w:val="00891C7A"/>
    <w:rsid w:val="00893E0B"/>
    <w:rsid w:val="008976E1"/>
    <w:rsid w:val="008A63BE"/>
    <w:rsid w:val="008B4B93"/>
    <w:rsid w:val="008B62FA"/>
    <w:rsid w:val="008C2D3B"/>
    <w:rsid w:val="008D0732"/>
    <w:rsid w:val="008D1E6E"/>
    <w:rsid w:val="008D56B5"/>
    <w:rsid w:val="008E024B"/>
    <w:rsid w:val="008E4A8A"/>
    <w:rsid w:val="008E5384"/>
    <w:rsid w:val="008E62C9"/>
    <w:rsid w:val="008F2438"/>
    <w:rsid w:val="008F7787"/>
    <w:rsid w:val="009136E5"/>
    <w:rsid w:val="009239AD"/>
    <w:rsid w:val="0093131C"/>
    <w:rsid w:val="00941FA1"/>
    <w:rsid w:val="00942ED1"/>
    <w:rsid w:val="00943BFD"/>
    <w:rsid w:val="009472FD"/>
    <w:rsid w:val="00950116"/>
    <w:rsid w:val="00951792"/>
    <w:rsid w:val="00954FB9"/>
    <w:rsid w:val="00956ED0"/>
    <w:rsid w:val="00957C5C"/>
    <w:rsid w:val="00962DC7"/>
    <w:rsid w:val="00967570"/>
    <w:rsid w:val="0096779B"/>
    <w:rsid w:val="009734AB"/>
    <w:rsid w:val="009743D1"/>
    <w:rsid w:val="009808D1"/>
    <w:rsid w:val="0098628C"/>
    <w:rsid w:val="00990506"/>
    <w:rsid w:val="00990980"/>
    <w:rsid w:val="00991315"/>
    <w:rsid w:val="0099255F"/>
    <w:rsid w:val="0099650F"/>
    <w:rsid w:val="009A063F"/>
    <w:rsid w:val="009A2E50"/>
    <w:rsid w:val="009A3249"/>
    <w:rsid w:val="009A61B1"/>
    <w:rsid w:val="009B403B"/>
    <w:rsid w:val="009C234E"/>
    <w:rsid w:val="009C308C"/>
    <w:rsid w:val="009D31F4"/>
    <w:rsid w:val="009D34AE"/>
    <w:rsid w:val="009E186A"/>
    <w:rsid w:val="009E31C8"/>
    <w:rsid w:val="009F064E"/>
    <w:rsid w:val="009F47B8"/>
    <w:rsid w:val="00A01A44"/>
    <w:rsid w:val="00A023F9"/>
    <w:rsid w:val="00A1731D"/>
    <w:rsid w:val="00A20E55"/>
    <w:rsid w:val="00A22E1A"/>
    <w:rsid w:val="00A34078"/>
    <w:rsid w:val="00A3515E"/>
    <w:rsid w:val="00A41108"/>
    <w:rsid w:val="00A465C0"/>
    <w:rsid w:val="00A5592B"/>
    <w:rsid w:val="00A55B3F"/>
    <w:rsid w:val="00A728BD"/>
    <w:rsid w:val="00A76517"/>
    <w:rsid w:val="00A81AC2"/>
    <w:rsid w:val="00A902D8"/>
    <w:rsid w:val="00A95AF1"/>
    <w:rsid w:val="00A95ECB"/>
    <w:rsid w:val="00A97272"/>
    <w:rsid w:val="00AA2475"/>
    <w:rsid w:val="00AA6B2D"/>
    <w:rsid w:val="00AB0D64"/>
    <w:rsid w:val="00AB0D85"/>
    <w:rsid w:val="00AB1E5A"/>
    <w:rsid w:val="00AB1ECF"/>
    <w:rsid w:val="00AB4689"/>
    <w:rsid w:val="00AB5097"/>
    <w:rsid w:val="00AB5627"/>
    <w:rsid w:val="00AC47F0"/>
    <w:rsid w:val="00AC5EBC"/>
    <w:rsid w:val="00AE2BAB"/>
    <w:rsid w:val="00AF2BF6"/>
    <w:rsid w:val="00AF5A5E"/>
    <w:rsid w:val="00B0090F"/>
    <w:rsid w:val="00B0244A"/>
    <w:rsid w:val="00B100CD"/>
    <w:rsid w:val="00B208D8"/>
    <w:rsid w:val="00B20FC8"/>
    <w:rsid w:val="00B27156"/>
    <w:rsid w:val="00B27564"/>
    <w:rsid w:val="00B326E4"/>
    <w:rsid w:val="00B3763D"/>
    <w:rsid w:val="00B403DD"/>
    <w:rsid w:val="00B431A4"/>
    <w:rsid w:val="00B44ED2"/>
    <w:rsid w:val="00B46E1E"/>
    <w:rsid w:val="00B60B8C"/>
    <w:rsid w:val="00B615C6"/>
    <w:rsid w:val="00B71792"/>
    <w:rsid w:val="00B770AC"/>
    <w:rsid w:val="00B77D3A"/>
    <w:rsid w:val="00B77EC1"/>
    <w:rsid w:val="00B81DFE"/>
    <w:rsid w:val="00B83345"/>
    <w:rsid w:val="00B83F50"/>
    <w:rsid w:val="00B86965"/>
    <w:rsid w:val="00BA0790"/>
    <w:rsid w:val="00BA1118"/>
    <w:rsid w:val="00BA2B62"/>
    <w:rsid w:val="00BA4E9E"/>
    <w:rsid w:val="00BB1153"/>
    <w:rsid w:val="00BB1909"/>
    <w:rsid w:val="00BB38EE"/>
    <w:rsid w:val="00BC41A3"/>
    <w:rsid w:val="00BD59EF"/>
    <w:rsid w:val="00BD750F"/>
    <w:rsid w:val="00BE7386"/>
    <w:rsid w:val="00C03D3E"/>
    <w:rsid w:val="00C05AA7"/>
    <w:rsid w:val="00C110E4"/>
    <w:rsid w:val="00C133B2"/>
    <w:rsid w:val="00C22AE3"/>
    <w:rsid w:val="00C371C6"/>
    <w:rsid w:val="00C37F11"/>
    <w:rsid w:val="00C40D3E"/>
    <w:rsid w:val="00C421B2"/>
    <w:rsid w:val="00C458CB"/>
    <w:rsid w:val="00C54BD7"/>
    <w:rsid w:val="00C57264"/>
    <w:rsid w:val="00C62E85"/>
    <w:rsid w:val="00C6349D"/>
    <w:rsid w:val="00C67EE8"/>
    <w:rsid w:val="00C73A3D"/>
    <w:rsid w:val="00C756B4"/>
    <w:rsid w:val="00C76196"/>
    <w:rsid w:val="00C77E3E"/>
    <w:rsid w:val="00C80715"/>
    <w:rsid w:val="00C8093F"/>
    <w:rsid w:val="00C82A37"/>
    <w:rsid w:val="00C84DAB"/>
    <w:rsid w:val="00C87B37"/>
    <w:rsid w:val="00C903B4"/>
    <w:rsid w:val="00C92208"/>
    <w:rsid w:val="00C923CA"/>
    <w:rsid w:val="00C94DCA"/>
    <w:rsid w:val="00C960BE"/>
    <w:rsid w:val="00C97386"/>
    <w:rsid w:val="00C97B59"/>
    <w:rsid w:val="00CA0D08"/>
    <w:rsid w:val="00CA2385"/>
    <w:rsid w:val="00CA6CA5"/>
    <w:rsid w:val="00CB09A8"/>
    <w:rsid w:val="00CB378C"/>
    <w:rsid w:val="00CC4817"/>
    <w:rsid w:val="00CC4825"/>
    <w:rsid w:val="00CD56B1"/>
    <w:rsid w:val="00CE3C6E"/>
    <w:rsid w:val="00CE4C1B"/>
    <w:rsid w:val="00D00DD1"/>
    <w:rsid w:val="00D075BF"/>
    <w:rsid w:val="00D12DCF"/>
    <w:rsid w:val="00D17E96"/>
    <w:rsid w:val="00D20936"/>
    <w:rsid w:val="00D2339A"/>
    <w:rsid w:val="00D25B4E"/>
    <w:rsid w:val="00D26D46"/>
    <w:rsid w:val="00D32B29"/>
    <w:rsid w:val="00D32F9A"/>
    <w:rsid w:val="00D36DAB"/>
    <w:rsid w:val="00D407E7"/>
    <w:rsid w:val="00D45A70"/>
    <w:rsid w:val="00D4640D"/>
    <w:rsid w:val="00D645FE"/>
    <w:rsid w:val="00D676FF"/>
    <w:rsid w:val="00D67ECE"/>
    <w:rsid w:val="00D74D7B"/>
    <w:rsid w:val="00D766C7"/>
    <w:rsid w:val="00D77EFF"/>
    <w:rsid w:val="00D801A3"/>
    <w:rsid w:val="00DA5609"/>
    <w:rsid w:val="00DB1C6A"/>
    <w:rsid w:val="00DB5712"/>
    <w:rsid w:val="00DC554A"/>
    <w:rsid w:val="00DE539B"/>
    <w:rsid w:val="00DE6640"/>
    <w:rsid w:val="00DF0D05"/>
    <w:rsid w:val="00DF4A9A"/>
    <w:rsid w:val="00E07849"/>
    <w:rsid w:val="00E07B74"/>
    <w:rsid w:val="00E105BC"/>
    <w:rsid w:val="00E11032"/>
    <w:rsid w:val="00E11A42"/>
    <w:rsid w:val="00E145D3"/>
    <w:rsid w:val="00E20E84"/>
    <w:rsid w:val="00E34BF8"/>
    <w:rsid w:val="00E364ED"/>
    <w:rsid w:val="00E417D9"/>
    <w:rsid w:val="00E626EE"/>
    <w:rsid w:val="00E63D02"/>
    <w:rsid w:val="00E65A76"/>
    <w:rsid w:val="00E73124"/>
    <w:rsid w:val="00E74212"/>
    <w:rsid w:val="00E8155F"/>
    <w:rsid w:val="00E9647B"/>
    <w:rsid w:val="00E978C3"/>
    <w:rsid w:val="00EA2809"/>
    <w:rsid w:val="00EB6D94"/>
    <w:rsid w:val="00EC0BE6"/>
    <w:rsid w:val="00EC100B"/>
    <w:rsid w:val="00EC7908"/>
    <w:rsid w:val="00ED14BC"/>
    <w:rsid w:val="00ED2F77"/>
    <w:rsid w:val="00EE2FDA"/>
    <w:rsid w:val="00EE524C"/>
    <w:rsid w:val="00EE57F6"/>
    <w:rsid w:val="00EE5917"/>
    <w:rsid w:val="00EE70AA"/>
    <w:rsid w:val="00EF3F7E"/>
    <w:rsid w:val="00EF4251"/>
    <w:rsid w:val="00F04CAB"/>
    <w:rsid w:val="00F05984"/>
    <w:rsid w:val="00F11226"/>
    <w:rsid w:val="00F22021"/>
    <w:rsid w:val="00F22661"/>
    <w:rsid w:val="00F32F1A"/>
    <w:rsid w:val="00F35BD3"/>
    <w:rsid w:val="00F47DD8"/>
    <w:rsid w:val="00F51467"/>
    <w:rsid w:val="00F5383A"/>
    <w:rsid w:val="00F55C7A"/>
    <w:rsid w:val="00F70BEE"/>
    <w:rsid w:val="00F90028"/>
    <w:rsid w:val="00F91154"/>
    <w:rsid w:val="00F975EA"/>
    <w:rsid w:val="00FA4471"/>
    <w:rsid w:val="00FA608E"/>
    <w:rsid w:val="00FC0BA7"/>
    <w:rsid w:val="00FC3669"/>
    <w:rsid w:val="00FD0FB2"/>
    <w:rsid w:val="00FD580E"/>
    <w:rsid w:val="00FE73ED"/>
    <w:rsid w:val="00FF01C9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C953A-1F02-400C-9E5B-5FD046E2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uiPriority w:val="20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User123</cp:lastModifiedBy>
  <cp:revision>2</cp:revision>
  <dcterms:created xsi:type="dcterms:W3CDTF">2020-05-07T08:12:00Z</dcterms:created>
  <dcterms:modified xsi:type="dcterms:W3CDTF">2020-05-07T08:12:00Z</dcterms:modified>
</cp:coreProperties>
</file>